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34A" w:rsidRPr="00AA234A" w:rsidRDefault="00AA234A" w:rsidP="00AA234A">
      <w:pPr>
        <w:rPr>
          <w:b/>
          <w:bCs/>
          <w:lang w:val="en-US"/>
        </w:rPr>
      </w:pPr>
      <w:r w:rsidRPr="00AA234A">
        <w:rPr>
          <w:b/>
          <w:bCs/>
          <w:lang w:val="en-US"/>
        </w:rPr>
        <w:t>FuturoFX Users Manual</w:t>
      </w:r>
    </w:p>
    <w:p w:rsidR="00AA234A" w:rsidRPr="00AA234A" w:rsidRDefault="00AA234A" w:rsidP="00AA234A">
      <w:pPr>
        <w:rPr>
          <w:lang w:val="en-US"/>
        </w:rPr>
      </w:pPr>
    </w:p>
    <w:p w:rsidR="00AA234A" w:rsidRPr="00AA234A" w:rsidRDefault="00AA234A" w:rsidP="00AA234A">
      <w:pPr>
        <w:rPr>
          <w:b/>
          <w:bCs/>
          <w:lang w:val="en-US"/>
        </w:rPr>
      </w:pPr>
      <w:r w:rsidRPr="00AA234A">
        <w:rPr>
          <w:b/>
          <w:bCs/>
          <w:lang w:val="en-US"/>
        </w:rPr>
        <w:t>FuturoFX Indicator</w:t>
      </w:r>
    </w:p>
    <w:p w:rsidR="00AA234A" w:rsidRPr="00AA234A" w:rsidRDefault="00AA234A" w:rsidP="00AA234A">
      <w:pPr>
        <w:rPr>
          <w:lang w:val="en-US"/>
        </w:rPr>
      </w:pPr>
      <w:r w:rsidRPr="00AA234A">
        <w:rPr>
          <w:lang w:val="en-US"/>
        </w:rPr>
        <w:t>The “</w:t>
      </w:r>
      <w:r w:rsidRPr="00AA234A">
        <w:rPr>
          <w:b/>
          <w:bCs/>
          <w:lang w:val="en-US"/>
        </w:rPr>
        <w:t>FuturoFX Spread</w:t>
      </w:r>
      <w:r w:rsidRPr="00AA234A">
        <w:rPr>
          <w:lang w:val="en-US"/>
        </w:rPr>
        <w:t>” indicator is a sophisticated correlation engine that is able to show a projection about future price action, based on the correlations identified in the history. It works on any timeframe and on any financial instrument (currency pair, commodity, future contract) that is available on a MT4 platform.</w:t>
      </w:r>
    </w:p>
    <w:p w:rsidR="00AA234A" w:rsidRPr="00AA234A" w:rsidRDefault="00AA234A" w:rsidP="00AA234A">
      <w:r w:rsidRPr="00AA234A">
        <w:drawing>
          <wp:inline distT="0" distB="0" distL="0" distR="0">
            <wp:extent cx="5715000" cy="1866900"/>
            <wp:effectExtent l="0" t="0" r="0" b="0"/>
            <wp:docPr id="24" name="Obraz 24" descr="http://www.pimpmyea.com/wp-content/uploads/2012/10/futurofx_UM_presentation.png">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pimpmyea.com/wp-content/uploads/2012/10/futurofx_UM_presentation.png">
                      <a:hlinkClick r:id="rId6" tgtFrame="&quot;_blank&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00" cy="1866900"/>
                    </a:xfrm>
                    <a:prstGeom prst="rect">
                      <a:avLst/>
                    </a:prstGeom>
                    <a:noFill/>
                    <a:ln>
                      <a:noFill/>
                    </a:ln>
                  </pic:spPr>
                </pic:pic>
              </a:graphicData>
            </a:graphic>
          </wp:inline>
        </w:drawing>
      </w:r>
    </w:p>
    <w:p w:rsidR="00AA234A" w:rsidRPr="00AA234A" w:rsidRDefault="00AA234A" w:rsidP="00AA234A">
      <w:pPr>
        <w:rPr>
          <w:b/>
          <w:bCs/>
        </w:rPr>
      </w:pPr>
      <w:r w:rsidRPr="00AA234A">
        <w:rPr>
          <w:b/>
          <w:bCs/>
        </w:rPr>
        <w:t>Installation</w:t>
      </w:r>
    </w:p>
    <w:p w:rsidR="00AA234A" w:rsidRPr="00AA234A" w:rsidRDefault="00AA234A" w:rsidP="00AA234A">
      <w:r w:rsidRPr="00AA234A">
        <w:t>The installation process:</w:t>
      </w:r>
    </w:p>
    <w:p w:rsidR="00AA234A" w:rsidRPr="00AA234A" w:rsidRDefault="00AA234A" w:rsidP="00AA234A">
      <w:pPr>
        <w:numPr>
          <w:ilvl w:val="0"/>
          <w:numId w:val="1"/>
        </w:numPr>
        <w:rPr>
          <w:lang w:val="en-US"/>
        </w:rPr>
      </w:pPr>
      <w:r w:rsidRPr="00AA234A">
        <w:rPr>
          <w:lang w:val="en-US"/>
        </w:rPr>
        <w:t>Copy the “</w:t>
      </w:r>
      <w:r w:rsidRPr="00AA234A">
        <w:rPr>
          <w:b/>
          <w:bCs/>
          <w:lang w:val="en-US"/>
        </w:rPr>
        <w:t>Cerbero.dll</w:t>
      </w:r>
      <w:r w:rsidRPr="00AA234A">
        <w:rPr>
          <w:lang w:val="en-US"/>
        </w:rPr>
        <w:t>” file into the “experts/libraries/” folder of your MetaTrader 4 installation.</w:t>
      </w:r>
    </w:p>
    <w:p w:rsidR="00AA234A" w:rsidRPr="00AA234A" w:rsidRDefault="00AA234A" w:rsidP="00AA234A">
      <w:pPr>
        <w:numPr>
          <w:ilvl w:val="0"/>
          <w:numId w:val="1"/>
        </w:numPr>
        <w:rPr>
          <w:lang w:val="en-US"/>
        </w:rPr>
      </w:pPr>
      <w:r w:rsidRPr="00AA234A">
        <w:rPr>
          <w:lang w:val="en-US"/>
        </w:rPr>
        <w:t>Copy the “</w:t>
      </w:r>
      <w:r w:rsidRPr="00AA234A">
        <w:rPr>
          <w:b/>
          <w:bCs/>
          <w:lang w:val="en-US"/>
        </w:rPr>
        <w:t>FuturoFX.ex4</w:t>
      </w:r>
      <w:r w:rsidRPr="00AA234A">
        <w:rPr>
          <w:lang w:val="en-US"/>
        </w:rPr>
        <w:t>” file into the “experts/indicators/” folder of your MetaTrader 4 installation.</w:t>
      </w:r>
    </w:p>
    <w:p w:rsidR="00AA234A" w:rsidRPr="00AA234A" w:rsidRDefault="00AA234A" w:rsidP="00AA234A">
      <w:pPr>
        <w:numPr>
          <w:ilvl w:val="0"/>
          <w:numId w:val="1"/>
        </w:numPr>
      </w:pPr>
      <w:r w:rsidRPr="00AA234A">
        <w:t>Restart the Metatrader 4 platform.</w:t>
      </w:r>
    </w:p>
    <w:p w:rsidR="00AA234A" w:rsidRPr="00AA234A" w:rsidRDefault="00AA234A" w:rsidP="00AA234A">
      <w:pPr>
        <w:rPr>
          <w:b/>
          <w:bCs/>
        </w:rPr>
      </w:pPr>
      <w:r w:rsidRPr="00AA234A">
        <w:rPr>
          <w:b/>
          <w:bCs/>
        </w:rPr>
        <w:t>How FuturoFX Works</w:t>
      </w:r>
    </w:p>
    <w:p w:rsidR="00AA234A" w:rsidRPr="00AA234A" w:rsidRDefault="00AA234A" w:rsidP="00AA234A">
      <w:pPr>
        <w:rPr>
          <w:lang w:val="en-US"/>
        </w:rPr>
      </w:pPr>
      <w:r w:rsidRPr="00AA234A">
        <w:rPr>
          <w:lang w:val="en-US"/>
        </w:rPr>
        <w:t>It is important to understand the basic principles behind the large amount of calculations performed by </w:t>
      </w:r>
      <w:r w:rsidRPr="00AA234A">
        <w:rPr>
          <w:b/>
          <w:bCs/>
          <w:lang w:val="en-US"/>
        </w:rPr>
        <w:t>FuturoFX</w:t>
      </w:r>
      <w:r w:rsidRPr="00AA234A">
        <w:rPr>
          <w:lang w:val="en-US"/>
        </w:rPr>
        <w:t>.</w:t>
      </w:r>
      <w:r w:rsidRPr="00AA234A">
        <w:rPr>
          <w:b/>
          <w:bCs/>
          <w:lang w:val="en-US"/>
        </w:rPr>
        <w:t>FuturoFX</w:t>
      </w:r>
      <w:r w:rsidRPr="00AA234A">
        <w:rPr>
          <w:lang w:val="en-US"/>
        </w:rPr>
        <w:t> looks at the last N bars on your chart (let’s call them a “recent history block”, or RHB) and then goes back in the past for analyzing all past sequences that are N bars long (let’s call each of this sequences an “old history block”, or OHB). Therefore </w:t>
      </w:r>
      <w:r w:rsidRPr="00AA234A">
        <w:rPr>
          <w:b/>
          <w:bCs/>
          <w:lang w:val="en-US"/>
        </w:rPr>
        <w:t>FuturoFX</w:t>
      </w:r>
      <w:r w:rsidRPr="00AA234A">
        <w:rPr>
          <w:lang w:val="en-US"/>
        </w:rPr>
        <w:t> compares 1 RHB against multiple OHB. This “comparison” is a mathematical computation called “</w:t>
      </w:r>
      <w:r w:rsidRPr="00AA234A">
        <w:rPr>
          <w:b/>
          <w:bCs/>
          <w:lang w:val="en-US"/>
        </w:rPr>
        <w:t>correlation</w:t>
      </w:r>
      <w:r w:rsidRPr="00AA234A">
        <w:rPr>
          <w:lang w:val="en-US"/>
        </w:rPr>
        <w:t>“. The correlation basically measures the extent of correspondence between two arrays of numbers. The result of this mathematical computation is a number between -100 (maximum inverse correlation) and +100 (maximum positive correlation). When the correlation is above a threshold like 70/80 you would easily say that RHB and OHB are “similar”, like in the example below (OHB on the left and RHB on the right):</w:t>
      </w:r>
    </w:p>
    <w:p w:rsidR="00AA234A" w:rsidRPr="00AA234A" w:rsidRDefault="00AA234A" w:rsidP="00AA234A">
      <w:r w:rsidRPr="00AA234A">
        <w:lastRenderedPageBreak/>
        <w:drawing>
          <wp:inline distT="0" distB="0" distL="0" distR="0">
            <wp:extent cx="3352800" cy="3219450"/>
            <wp:effectExtent l="0" t="0" r="0" b="0"/>
            <wp:docPr id="23" name="Obraz 23" descr="http://www.pimpmyea.com/wp-content/uploads/2012/10/FuturoFX_UM_OH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pimpmyea.com/wp-content/uploads/2012/10/FuturoFX_UM_OH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2800" cy="3219450"/>
                    </a:xfrm>
                    <a:prstGeom prst="rect">
                      <a:avLst/>
                    </a:prstGeom>
                    <a:noFill/>
                    <a:ln>
                      <a:noFill/>
                    </a:ln>
                  </pic:spPr>
                </pic:pic>
              </a:graphicData>
            </a:graphic>
          </wp:inline>
        </w:drawing>
      </w:r>
    </w:p>
    <w:p w:rsidR="00AA234A" w:rsidRPr="00AA234A" w:rsidRDefault="00AA234A" w:rsidP="00AA234A">
      <w:r w:rsidRPr="00AA234A">
        <w:drawing>
          <wp:inline distT="0" distB="0" distL="0" distR="0">
            <wp:extent cx="3505200" cy="3219450"/>
            <wp:effectExtent l="0" t="0" r="0" b="0"/>
            <wp:docPr id="22" name="Obraz 22" descr="http://www.pimpmyea.com/wp-content/uploads/2012/10/FuturoFX_UM_RH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pimpmyea.com/wp-content/uploads/2012/10/FuturoFX_UM_RHB.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5200" cy="3219450"/>
                    </a:xfrm>
                    <a:prstGeom prst="rect">
                      <a:avLst/>
                    </a:prstGeom>
                    <a:noFill/>
                    <a:ln>
                      <a:noFill/>
                    </a:ln>
                  </pic:spPr>
                </pic:pic>
              </a:graphicData>
            </a:graphic>
          </wp:inline>
        </w:drawing>
      </w:r>
    </w:p>
    <w:p w:rsidR="00AA234A" w:rsidRPr="00AA234A" w:rsidRDefault="00AA234A" w:rsidP="00AA234A">
      <w:pPr>
        <w:rPr>
          <w:lang w:val="en-US"/>
        </w:rPr>
      </w:pPr>
      <w:r w:rsidRPr="00AA234A">
        <w:rPr>
          <w:lang w:val="en-US"/>
        </w:rPr>
        <w:t>When the correlation is below a threshold like -70/-80 you would say again that RHB and OHB are similar, however they are just specular, like in the example below (OHB on the left and RHB on the right):</w:t>
      </w:r>
    </w:p>
    <w:p w:rsidR="00AA234A" w:rsidRPr="00AA234A" w:rsidRDefault="00AA234A" w:rsidP="00AA234A">
      <w:r w:rsidRPr="00AA234A">
        <w:lastRenderedPageBreak/>
        <w:drawing>
          <wp:inline distT="0" distB="0" distL="0" distR="0">
            <wp:extent cx="2905125" cy="4076700"/>
            <wp:effectExtent l="0" t="0" r="9525" b="0"/>
            <wp:docPr id="21" name="Obraz 21" descr="http://www.pimpmyea.com/wp-content/uploads/2012/10/FuturoFX_UM_OH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pimpmyea.com/wp-content/uploads/2012/10/FuturoFX_UM_OHB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5125" cy="4076700"/>
                    </a:xfrm>
                    <a:prstGeom prst="rect">
                      <a:avLst/>
                    </a:prstGeom>
                    <a:noFill/>
                    <a:ln>
                      <a:noFill/>
                    </a:ln>
                  </pic:spPr>
                </pic:pic>
              </a:graphicData>
            </a:graphic>
          </wp:inline>
        </w:drawing>
      </w:r>
    </w:p>
    <w:p w:rsidR="00AA234A" w:rsidRPr="00AA234A" w:rsidRDefault="00AA234A" w:rsidP="00AA234A">
      <w:r w:rsidRPr="00AA234A">
        <w:drawing>
          <wp:inline distT="0" distB="0" distL="0" distR="0">
            <wp:extent cx="2733675" cy="4076700"/>
            <wp:effectExtent l="0" t="0" r="9525" b="0"/>
            <wp:docPr id="20" name="Obraz 20" descr="http://www.pimpmyea.com/wp-content/uploads/2012/10/FuturoFX_UM_RH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pimpmyea.com/wp-content/uploads/2012/10/FuturoFX_UM_RHB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3675" cy="4076700"/>
                    </a:xfrm>
                    <a:prstGeom prst="rect">
                      <a:avLst/>
                    </a:prstGeom>
                    <a:noFill/>
                    <a:ln>
                      <a:noFill/>
                    </a:ln>
                  </pic:spPr>
                </pic:pic>
              </a:graphicData>
            </a:graphic>
          </wp:inline>
        </w:drawing>
      </w:r>
    </w:p>
    <w:p w:rsidR="00AA234A" w:rsidRPr="00AA234A" w:rsidRDefault="00AA234A" w:rsidP="00AA234A">
      <w:pPr>
        <w:rPr>
          <w:lang w:val="en-US"/>
        </w:rPr>
      </w:pPr>
      <w:r w:rsidRPr="00AA234A">
        <w:rPr>
          <w:b/>
          <w:bCs/>
          <w:lang w:val="en-US"/>
        </w:rPr>
        <w:lastRenderedPageBreak/>
        <w:t>FuturoFX</w:t>
      </w:r>
      <w:r w:rsidRPr="00AA234A">
        <w:rPr>
          <w:lang w:val="en-US"/>
        </w:rPr>
        <w:t> by default looks only for strong positive correlations between RHB and OHB. However the user can also change the settings in order to take into account both positive and negative correlations.</w:t>
      </w:r>
    </w:p>
    <w:p w:rsidR="00AA234A" w:rsidRPr="00AA234A" w:rsidRDefault="00AA234A" w:rsidP="00AA234A">
      <w:pPr>
        <w:rPr>
          <w:lang w:val="en-US"/>
        </w:rPr>
      </w:pPr>
      <w:r w:rsidRPr="00AA234A">
        <w:rPr>
          <w:lang w:val="en-US"/>
        </w:rPr>
        <w:t>Usually </w:t>
      </w:r>
      <w:r w:rsidRPr="00AA234A">
        <w:rPr>
          <w:b/>
          <w:bCs/>
          <w:lang w:val="en-US"/>
        </w:rPr>
        <w:t>FuturoFX</w:t>
      </w:r>
      <w:r w:rsidRPr="00AA234A">
        <w:rPr>
          <w:lang w:val="en-US"/>
        </w:rPr>
        <w:t> finds a number of OHB that show a “good” correlation with RHB. The next step is analyzing the M bars just after each OHB (let’s call each of them OHB_future), in order to build a projection of M bars in the future of RHB (let’s call it RHB_future). The average of the best OHB_future sequences is shown by </w:t>
      </w:r>
      <w:r w:rsidRPr="00AA234A">
        <w:rPr>
          <w:b/>
          <w:bCs/>
          <w:lang w:val="en-US"/>
        </w:rPr>
        <w:t>FuturoFX</w:t>
      </w:r>
      <w:r w:rsidRPr="00AA234A">
        <w:rPr>
          <w:lang w:val="en-US"/>
        </w:rPr>
        <w:t> in a coloured trail (red tomato by default), while the absolute best OHB_future sequence is shown by </w:t>
      </w:r>
      <w:r w:rsidRPr="00AA234A">
        <w:rPr>
          <w:b/>
          <w:bCs/>
          <w:lang w:val="en-US"/>
        </w:rPr>
        <w:t>FuturoFX</w:t>
      </w:r>
      <w:r w:rsidRPr="00AA234A">
        <w:rPr>
          <w:lang w:val="en-US"/>
        </w:rPr>
        <w:t> as a sequence of bars (yellow by default).</w:t>
      </w:r>
    </w:p>
    <w:p w:rsidR="00AA234A" w:rsidRPr="00AA234A" w:rsidRDefault="00AA234A" w:rsidP="00AA234A">
      <w:pPr>
        <w:rPr>
          <w:b/>
          <w:bCs/>
          <w:lang w:val="en-US"/>
        </w:rPr>
      </w:pPr>
      <w:r w:rsidRPr="00AA234A">
        <w:rPr>
          <w:b/>
          <w:bCs/>
          <w:lang w:val="en-US"/>
        </w:rPr>
        <w:t>Textual interface</w:t>
      </w:r>
    </w:p>
    <w:p w:rsidR="00AA234A" w:rsidRPr="00AA234A" w:rsidRDefault="00AA234A" w:rsidP="00AA234A">
      <w:pPr>
        <w:rPr>
          <w:lang w:val="en-US"/>
        </w:rPr>
      </w:pPr>
      <w:r w:rsidRPr="00AA234A">
        <w:rPr>
          <w:b/>
          <w:bCs/>
          <w:lang w:val="en-US"/>
        </w:rPr>
        <w:t>FuturoFX</w:t>
      </w:r>
      <w:r w:rsidRPr="00AA234A">
        <w:rPr>
          <w:lang w:val="en-US"/>
        </w:rPr>
        <w:t> comes with a detailed textual interface that can be enabled/disabled by the user. When it is enabled, the textual interface is displayed on a blue background that gets brighter when the average correlation approaches +100.</w:t>
      </w:r>
    </w:p>
    <w:p w:rsidR="00AA234A" w:rsidRPr="00AA234A" w:rsidRDefault="00AA234A" w:rsidP="00AA234A">
      <w:r w:rsidRPr="00AA234A">
        <w:drawing>
          <wp:inline distT="0" distB="0" distL="0" distR="0">
            <wp:extent cx="2905125" cy="2143125"/>
            <wp:effectExtent l="0" t="0" r="9525" b="9525"/>
            <wp:docPr id="19" name="Obraz 19" descr="http://www.pimpmyea.com/wp-content/uploads/2012/10/FuturoFX_UM_TI_v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pimpmyea.com/wp-content/uploads/2012/10/FuturoFX_UM_TI_v1.0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5125" cy="2143125"/>
                    </a:xfrm>
                    <a:prstGeom prst="rect">
                      <a:avLst/>
                    </a:prstGeom>
                    <a:noFill/>
                    <a:ln>
                      <a:noFill/>
                    </a:ln>
                  </pic:spPr>
                </pic:pic>
              </a:graphicData>
            </a:graphic>
          </wp:inline>
        </w:drawing>
      </w:r>
    </w:p>
    <w:p w:rsidR="00AA234A" w:rsidRPr="00AA234A" w:rsidRDefault="00AA234A" w:rsidP="00AA234A">
      <w:pPr>
        <w:rPr>
          <w:lang w:val="en-US"/>
        </w:rPr>
      </w:pPr>
      <w:r w:rsidRPr="00AA234A">
        <w:rPr>
          <w:lang w:val="en-US"/>
        </w:rPr>
        <w:t>The interface changes with each new incoming bar. Here is the exact meaning of each row from top to bottom:</w:t>
      </w:r>
    </w:p>
    <w:p w:rsidR="00AA234A" w:rsidRPr="00AA234A" w:rsidRDefault="00AA234A" w:rsidP="00AA234A">
      <w:pPr>
        <w:rPr>
          <w:lang w:val="en-US"/>
        </w:rPr>
      </w:pPr>
      <w:r w:rsidRPr="00AA234A">
        <w:rPr>
          <w:lang w:val="en-US"/>
        </w:rPr>
        <w:t>- the Indicator name (FuturoFX) and version number (first released version is v1.00)</w:t>
      </w:r>
      <w:r w:rsidRPr="00AA234A">
        <w:rPr>
          <w:lang w:val="en-US"/>
        </w:rPr>
        <w:br/>
        <w:t>- a copyright notice (www.pimpmyea.com)</w:t>
      </w:r>
      <w:r w:rsidRPr="00AA234A">
        <w:rPr>
          <w:lang w:val="en-US"/>
        </w:rPr>
        <w:br/>
        <w:t>- the open time of the last bar displayed on chart (this is useful when setting </w:t>
      </w:r>
      <w:r w:rsidRPr="00AA234A">
        <w:rPr>
          <w:b/>
          <w:bCs/>
          <w:lang w:val="en-US"/>
        </w:rPr>
        <w:t>FuturoFX</w:t>
      </w:r>
      <w:r w:rsidRPr="00AA234A">
        <w:rPr>
          <w:lang w:val="en-US"/>
        </w:rPr>
        <w:t> to take screenshot automatically – please read the “Options” section for understanding this important feature)</w:t>
      </w:r>
      <w:r w:rsidRPr="00AA234A">
        <w:rPr>
          <w:lang w:val="en-US"/>
        </w:rPr>
        <w:br/>
        <w:t>- the number of candles analyzed in the past with respect to the whole history available on MT4 (the user can also make FuturoFX to analyze the whole history)</w:t>
      </w:r>
      <w:r w:rsidRPr="00AA234A">
        <w:rPr>
          <w:lang w:val="en-US"/>
        </w:rPr>
        <w:br/>
        <w:t>- the number of correlation performed (number of OHB in the analyzed history) and the length of each history block between square bracktes</w:t>
      </w:r>
      <w:r w:rsidRPr="00AA234A">
        <w:rPr>
          <w:lang w:val="en-US"/>
        </w:rPr>
        <w:br/>
        <w:t>- the number of correlation matches above the threshold, and their average value between brackets</w:t>
      </w:r>
      <w:r w:rsidRPr="00AA234A">
        <w:rPr>
          <w:lang w:val="en-US"/>
        </w:rPr>
        <w:br/>
        <w:t>- the number of correlation matches below the negative threshold, and their average value between brackets (this line is displayed only if the user selects also negative correlations)</w:t>
      </w:r>
      <w:r w:rsidRPr="00AA234A">
        <w:rPr>
          <w:lang w:val="en-US"/>
        </w:rPr>
        <w:br/>
        <w:t>- the best correlation match identified in the past: both the correlation value and the time in the past when this match occurred (between square brackets) are reported</w:t>
      </w:r>
      <w:r w:rsidRPr="00AA234A">
        <w:rPr>
          <w:lang w:val="en-US"/>
        </w:rPr>
        <w:br/>
        <w:t>- the standard deviation on the High and Low values of the colored trail displayed by the indicator (this line is displayed only if the user wants to display STD information on chart)</w:t>
      </w:r>
      <w:r w:rsidRPr="00AA234A">
        <w:rPr>
          <w:lang w:val="en-US"/>
        </w:rPr>
        <w:br/>
      </w:r>
      <w:r w:rsidRPr="00AA234A">
        <w:rPr>
          <w:lang w:val="en-US"/>
        </w:rPr>
        <w:lastRenderedPageBreak/>
        <w:t>- the “profit potential” of long and short trades, based on the difference between the Open price of the last candle and Highest High and Lowest Low of the “Best Projection”</w:t>
      </w:r>
      <w:r w:rsidRPr="00AA234A">
        <w:rPr>
          <w:lang w:val="en-US"/>
        </w:rPr>
        <w:br/>
        <w:t>- a “Confidence Score” which is a measure of how good the projections in the future should be considered</w:t>
      </w:r>
    </w:p>
    <w:p w:rsidR="00AA234A" w:rsidRPr="00AA234A" w:rsidRDefault="00AA234A" w:rsidP="00AA234A">
      <w:pPr>
        <w:rPr>
          <w:b/>
          <w:bCs/>
          <w:lang w:val="en-US"/>
        </w:rPr>
      </w:pPr>
      <w:r w:rsidRPr="00AA234A">
        <w:rPr>
          <w:b/>
          <w:bCs/>
          <w:lang w:val="en-US"/>
        </w:rPr>
        <w:t>Main Visual Elements: Rectangles, Average Projection, and Best Projection</w:t>
      </w:r>
    </w:p>
    <w:p w:rsidR="00AA234A" w:rsidRPr="00AA234A" w:rsidRDefault="00AA234A" w:rsidP="00AA234A">
      <w:pPr>
        <w:rPr>
          <w:lang w:val="en-US"/>
        </w:rPr>
      </w:pPr>
      <w:r w:rsidRPr="00AA234A">
        <w:rPr>
          <w:lang w:val="en-US"/>
        </w:rPr>
        <w:t>Three visual elements of </w:t>
      </w:r>
      <w:r w:rsidRPr="00AA234A">
        <w:rPr>
          <w:b/>
          <w:bCs/>
          <w:lang w:val="en-US"/>
        </w:rPr>
        <w:t>FuturoFX</w:t>
      </w:r>
      <w:r w:rsidRPr="00AA234A">
        <w:rPr>
          <w:lang w:val="en-US"/>
        </w:rPr>
        <w:t> that are enabled by default are “Rectangles”, “Average Projection” (the colored red tomato trail) and the “Best Projection” (the sequence of yellow bars).</w:t>
      </w:r>
    </w:p>
    <w:p w:rsidR="00AA234A" w:rsidRPr="00AA234A" w:rsidRDefault="00AA234A" w:rsidP="00AA234A">
      <w:r w:rsidRPr="00AA234A">
        <w:drawing>
          <wp:inline distT="0" distB="0" distL="0" distR="0">
            <wp:extent cx="6543675" cy="4238625"/>
            <wp:effectExtent l="0" t="0" r="9525" b="9525"/>
            <wp:docPr id="18" name="Obraz 18" descr="http://www.pimpmyea.com/wp-content/uploads/2012/10/FuturoFX_UM_graph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pimpmyea.com/wp-content/uploads/2012/10/FuturoFX_UM_graph0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43675" cy="4238625"/>
                    </a:xfrm>
                    <a:prstGeom prst="rect">
                      <a:avLst/>
                    </a:prstGeom>
                    <a:noFill/>
                    <a:ln>
                      <a:noFill/>
                    </a:ln>
                  </pic:spPr>
                </pic:pic>
              </a:graphicData>
            </a:graphic>
          </wp:inline>
        </w:drawing>
      </w:r>
    </w:p>
    <w:p w:rsidR="00AA234A" w:rsidRPr="00AA234A" w:rsidRDefault="00AA234A" w:rsidP="00AA234A">
      <w:pPr>
        <w:rPr>
          <w:lang w:val="en-US"/>
        </w:rPr>
      </w:pPr>
      <w:r w:rsidRPr="00AA234A">
        <w:rPr>
          <w:lang w:val="en-US"/>
        </w:rPr>
        <w:t>The picture above shows the red Rectangle delimiting RHB (the “Recent History Block”), and scrolling back the chart we can also find another red Rectangle delimiting  the OHB (an “Old History Block”) with the best correlation match.</w:t>
      </w:r>
    </w:p>
    <w:p w:rsidR="00AA234A" w:rsidRPr="00AA234A" w:rsidRDefault="00AA234A" w:rsidP="00AA234A">
      <w:pPr>
        <w:rPr>
          <w:lang w:val="en-US"/>
        </w:rPr>
      </w:pPr>
      <w:r w:rsidRPr="00AA234A">
        <w:rPr>
          <w:lang w:val="en-US"/>
        </w:rPr>
        <w:t>The picture also shows a red tomato trail which is the “Average Projection” along with two numerical information associated to it: an integer number and a percentage. The integer represents the number of matches taken into account for calculating the Average Projection. The percentage is the average correlation score of this projection. Usually the higher these numbers the better, because the projection in the future is more reliable.</w:t>
      </w:r>
    </w:p>
    <w:p w:rsidR="00AA234A" w:rsidRPr="00AA234A" w:rsidRDefault="00AA234A" w:rsidP="00AA234A">
      <w:pPr>
        <w:rPr>
          <w:lang w:val="en-US"/>
        </w:rPr>
      </w:pPr>
      <w:r w:rsidRPr="00AA234A">
        <w:rPr>
          <w:lang w:val="en-US"/>
        </w:rPr>
        <w:t>Finally the picture above also shows a series of yellow bars which form the “Best Projection”, along with a percentage which represents the correlation score of the “best match”.</w:t>
      </w:r>
    </w:p>
    <w:p w:rsidR="00AA234A" w:rsidRPr="00AA234A" w:rsidRDefault="00AA234A" w:rsidP="00AA234A">
      <w:pPr>
        <w:rPr>
          <w:b/>
          <w:bCs/>
          <w:lang w:val="en-US"/>
        </w:rPr>
      </w:pPr>
      <w:r w:rsidRPr="00AA234A">
        <w:rPr>
          <w:b/>
          <w:bCs/>
          <w:lang w:val="en-US"/>
        </w:rPr>
        <w:t>Secondary Visual Elements: Barycentres, Standard Deviations, and Outliers</w:t>
      </w:r>
    </w:p>
    <w:p w:rsidR="00AA234A" w:rsidRPr="00AA234A" w:rsidRDefault="00AA234A" w:rsidP="00AA234A">
      <w:pPr>
        <w:rPr>
          <w:lang w:val="en-US"/>
        </w:rPr>
      </w:pPr>
      <w:r w:rsidRPr="00AA234A">
        <w:rPr>
          <w:lang w:val="en-US"/>
        </w:rPr>
        <w:lastRenderedPageBreak/>
        <w:t>Other three visual elements of </w:t>
      </w:r>
      <w:r w:rsidRPr="00AA234A">
        <w:rPr>
          <w:b/>
          <w:bCs/>
          <w:lang w:val="en-US"/>
        </w:rPr>
        <w:t>FuturoFX</w:t>
      </w:r>
      <w:r w:rsidRPr="00AA234A">
        <w:rPr>
          <w:lang w:val="en-US"/>
        </w:rPr>
        <w:t> can be enabled by the user: “Barycentres” , “Standard Deviations”, and “Outliers”.</w:t>
      </w:r>
    </w:p>
    <w:p w:rsidR="00AA234A" w:rsidRPr="00AA234A" w:rsidRDefault="00AA234A" w:rsidP="00AA234A">
      <w:r w:rsidRPr="00AA234A">
        <w:drawing>
          <wp:inline distT="0" distB="0" distL="0" distR="0">
            <wp:extent cx="6657975" cy="4772025"/>
            <wp:effectExtent l="0" t="0" r="9525" b="9525"/>
            <wp:docPr id="17" name="Obraz 17" descr="http://www.pimpmyea.com/wp-content/uploads/2012/10/FuturoFX_UM_graph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pimpmyea.com/wp-content/uploads/2012/10/FuturoFX_UM_graph0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57975" cy="4772025"/>
                    </a:xfrm>
                    <a:prstGeom prst="rect">
                      <a:avLst/>
                    </a:prstGeom>
                    <a:noFill/>
                    <a:ln>
                      <a:noFill/>
                    </a:ln>
                  </pic:spPr>
                </pic:pic>
              </a:graphicData>
            </a:graphic>
          </wp:inline>
        </w:drawing>
      </w:r>
    </w:p>
    <w:p w:rsidR="00AA234A" w:rsidRPr="00AA234A" w:rsidRDefault="00AA234A" w:rsidP="00AA234A">
      <w:pPr>
        <w:rPr>
          <w:lang w:val="en-US"/>
        </w:rPr>
      </w:pPr>
      <w:r w:rsidRPr="00AA234A">
        <w:rPr>
          <w:lang w:val="en-US"/>
        </w:rPr>
        <w:t>The secondary visual elements should be used only by traders who have already some experience with the basic features of </w:t>
      </w:r>
      <w:r w:rsidRPr="00AA234A">
        <w:rPr>
          <w:b/>
          <w:bCs/>
          <w:lang w:val="en-US"/>
        </w:rPr>
        <w:t>FuturoFX</w:t>
      </w:r>
      <w:r w:rsidRPr="00AA234A">
        <w:rPr>
          <w:lang w:val="en-US"/>
        </w:rPr>
        <w:t>, otherwise they may be just confusing.</w:t>
      </w:r>
    </w:p>
    <w:p w:rsidR="00AA234A" w:rsidRPr="00AA234A" w:rsidRDefault="00AA234A" w:rsidP="00AA234A">
      <w:pPr>
        <w:rPr>
          <w:lang w:val="en-US"/>
        </w:rPr>
      </w:pPr>
      <w:r w:rsidRPr="00AA234A">
        <w:rPr>
          <w:lang w:val="en-US"/>
        </w:rPr>
        <w:t>The three horizontal lines are the “Barycentres”: the solid violet line is the “center of mass” (or average value) of the “Average Projection”, the solid yellow line is the “center of mass” of the “Best Projection”, the dashed violet lines is exactly half-way between the two previous lines. You can consider the space between the violet and yellow solid lines as a “channel”. Usually when price is outside the channel and above it, it can be worth looking for short trades. When price is outside the channel and below it, it can be worth looking for long trades. In both cases the dashed line can be considered a conservative take profit level.</w:t>
      </w:r>
    </w:p>
    <w:p w:rsidR="00AA234A" w:rsidRPr="00AA234A" w:rsidRDefault="00AA234A" w:rsidP="00AA234A">
      <w:pPr>
        <w:rPr>
          <w:lang w:val="en-US"/>
        </w:rPr>
      </w:pPr>
      <w:r w:rsidRPr="00AA234A">
        <w:rPr>
          <w:lang w:val="en-US"/>
        </w:rPr>
        <w:t>The green dots represent a Bollinger Band calculated on the upper line of the Average Projection. The red dots represent a Bollinger Band calculated on the lower line of the Average Projection. The closer these dots are to the red trial the better, because it means all future projections strongly agree among them, therefore the Average Projection can be considered pretty reliable.</w:t>
      </w:r>
    </w:p>
    <w:p w:rsidR="00AA234A" w:rsidRPr="00AA234A" w:rsidRDefault="00AA234A" w:rsidP="00AA234A">
      <w:pPr>
        <w:rPr>
          <w:lang w:val="en-US"/>
        </w:rPr>
      </w:pPr>
      <w:r w:rsidRPr="00AA234A">
        <w:rPr>
          <w:lang w:val="en-US"/>
        </w:rPr>
        <w:lastRenderedPageBreak/>
        <w:t>Finally the green and red crosses represent “Outliers”, which are the most extreme Highs and Lows that </w:t>
      </w:r>
      <w:r w:rsidRPr="00AA234A">
        <w:rPr>
          <w:b/>
          <w:bCs/>
          <w:lang w:val="en-US"/>
        </w:rPr>
        <w:t>FuturoFX</w:t>
      </w:r>
      <w:r w:rsidRPr="00AA234A">
        <w:rPr>
          <w:lang w:val="en-US"/>
        </w:rPr>
        <w:t> detected in the past among the selected correlations. These extreme values can warn the trader about the most violent price excursions that happened in the past (and may happen in the future as well).</w:t>
      </w:r>
    </w:p>
    <w:p w:rsidR="00AA234A" w:rsidRPr="00AA234A" w:rsidRDefault="00AA234A" w:rsidP="00AA234A">
      <w:pPr>
        <w:rPr>
          <w:b/>
          <w:bCs/>
          <w:lang w:val="en-US"/>
        </w:rPr>
      </w:pPr>
      <w:r w:rsidRPr="00AA234A">
        <w:rPr>
          <w:b/>
          <w:bCs/>
          <w:lang w:val="en-US"/>
        </w:rPr>
        <w:t>How To Trade with FuturoFX</w:t>
      </w:r>
    </w:p>
    <w:p w:rsidR="00AA234A" w:rsidRPr="00AA234A" w:rsidRDefault="00AA234A" w:rsidP="00AA234A">
      <w:pPr>
        <w:rPr>
          <w:lang w:val="en-US"/>
        </w:rPr>
      </w:pPr>
      <w:r w:rsidRPr="00AA234A">
        <w:rPr>
          <w:b/>
          <w:bCs/>
          <w:lang w:val="en-US"/>
        </w:rPr>
        <w:t>FuturoFX</w:t>
      </w:r>
      <w:r w:rsidRPr="00AA234A">
        <w:rPr>
          <w:lang w:val="en-US"/>
        </w:rPr>
        <w:t> can fit many different trading styles. Since it works on any financial instrument and on any timeframe it is a very flexible tool for trading virtually any market. The most simple use of FuturoFX is as a leading indicator that you can integrate in your current trading toolbox. You can use the projections shown by FuturoFX as additional filters in your trading plan, or as your main trade signals.</w:t>
      </w:r>
    </w:p>
    <w:p w:rsidR="00AA234A" w:rsidRPr="00AA234A" w:rsidRDefault="00AA234A" w:rsidP="00AA234A">
      <w:pPr>
        <w:rPr>
          <w:lang w:val="en-US"/>
        </w:rPr>
      </w:pPr>
      <w:r w:rsidRPr="00AA234A">
        <w:rPr>
          <w:lang w:val="en-US"/>
        </w:rPr>
        <w:t>We found at least three ways of trading that rely on </w:t>
      </w:r>
      <w:r w:rsidRPr="00AA234A">
        <w:rPr>
          <w:b/>
          <w:bCs/>
          <w:lang w:val="en-US"/>
        </w:rPr>
        <w:t>FuturoFX</w:t>
      </w:r>
      <w:r w:rsidRPr="00AA234A">
        <w:rPr>
          <w:lang w:val="en-US"/>
        </w:rPr>
        <w:t> as the main (and possibly only) trigger for entering trades:</w:t>
      </w:r>
    </w:p>
    <w:p w:rsidR="00AA234A" w:rsidRPr="00AA234A" w:rsidRDefault="00AA234A" w:rsidP="00AA234A">
      <w:pPr>
        <w:numPr>
          <w:ilvl w:val="0"/>
          <w:numId w:val="2"/>
        </w:numPr>
      </w:pPr>
      <w:r w:rsidRPr="00AA234A">
        <w:t>scalping</w:t>
      </w:r>
    </w:p>
    <w:p w:rsidR="00AA234A" w:rsidRPr="00AA234A" w:rsidRDefault="00AA234A" w:rsidP="00AA234A">
      <w:pPr>
        <w:numPr>
          <w:ilvl w:val="0"/>
          <w:numId w:val="2"/>
        </w:numPr>
      </w:pPr>
      <w:r w:rsidRPr="00AA234A">
        <w:t>end-of-day trading</w:t>
      </w:r>
    </w:p>
    <w:p w:rsidR="00AA234A" w:rsidRPr="00AA234A" w:rsidRDefault="00AA234A" w:rsidP="00AA234A">
      <w:pPr>
        <w:numPr>
          <w:ilvl w:val="0"/>
          <w:numId w:val="2"/>
        </w:numPr>
      </w:pPr>
      <w:r w:rsidRPr="00AA234A">
        <w:t>binary options</w:t>
      </w:r>
    </w:p>
    <w:p w:rsidR="00AA234A" w:rsidRPr="00AA234A" w:rsidRDefault="00AA234A" w:rsidP="00AA234A">
      <w:pPr>
        <w:rPr>
          <w:lang w:val="en-US"/>
        </w:rPr>
      </w:pPr>
      <w:r w:rsidRPr="00AA234A">
        <w:rPr>
          <w:lang w:val="en-US"/>
        </w:rPr>
        <w:t>Here is the basic trading logic for using </w:t>
      </w:r>
      <w:r w:rsidRPr="00AA234A">
        <w:rPr>
          <w:b/>
          <w:bCs/>
          <w:lang w:val="en-US"/>
        </w:rPr>
        <w:t>FuturoFX</w:t>
      </w:r>
      <w:r w:rsidRPr="00AA234A">
        <w:rPr>
          <w:lang w:val="en-US"/>
        </w:rPr>
        <w:t> as a manual scalping tool (</w:t>
      </w:r>
      <w:hyperlink r:id="rId15" w:tgtFrame="_blank" w:history="1">
        <w:r w:rsidRPr="00AA234A">
          <w:rPr>
            <w:rStyle w:val="Hipercze"/>
            <w:lang w:val="en-US"/>
          </w:rPr>
          <w:t>click here to learn more</w:t>
        </w:r>
      </w:hyperlink>
      <w:r w:rsidRPr="00AA234A">
        <w:rPr>
          <w:lang w:val="en-US"/>
        </w:rPr>
        <w:t>):</w:t>
      </w:r>
    </w:p>
    <w:p w:rsidR="00AA234A" w:rsidRPr="00AA234A" w:rsidRDefault="00AA234A" w:rsidP="00AA234A">
      <w:pPr>
        <w:numPr>
          <w:ilvl w:val="0"/>
          <w:numId w:val="3"/>
        </w:numPr>
        <w:rPr>
          <w:lang w:val="en-US"/>
        </w:rPr>
      </w:pPr>
      <w:r w:rsidRPr="00AA234A">
        <w:rPr>
          <w:lang w:val="en-US"/>
        </w:rPr>
        <w:t>keep </w:t>
      </w:r>
      <w:r w:rsidRPr="00AA234A">
        <w:rPr>
          <w:b/>
          <w:bCs/>
          <w:lang w:val="en-US"/>
        </w:rPr>
        <w:t>FuturoFX</w:t>
      </w:r>
      <w:r w:rsidRPr="00AA234A">
        <w:rPr>
          <w:lang w:val="en-US"/>
        </w:rPr>
        <w:t> opened on two timeframes (e.g. M5 and M30)</w:t>
      </w:r>
    </w:p>
    <w:p w:rsidR="00AA234A" w:rsidRPr="00AA234A" w:rsidRDefault="00AA234A" w:rsidP="00AA234A">
      <w:pPr>
        <w:numPr>
          <w:ilvl w:val="0"/>
          <w:numId w:val="3"/>
        </w:numPr>
        <w:rPr>
          <w:lang w:val="en-US"/>
        </w:rPr>
      </w:pPr>
      <w:r w:rsidRPr="00AA234A">
        <w:rPr>
          <w:lang w:val="en-US"/>
        </w:rPr>
        <w:t>make sure the “average projection” and “best projection” on both timeframes are in agreement</w:t>
      </w:r>
    </w:p>
    <w:p w:rsidR="00AA234A" w:rsidRPr="00AA234A" w:rsidRDefault="00AA234A" w:rsidP="00AA234A">
      <w:pPr>
        <w:numPr>
          <w:ilvl w:val="0"/>
          <w:numId w:val="3"/>
        </w:numPr>
        <w:rPr>
          <w:lang w:val="en-US"/>
        </w:rPr>
      </w:pPr>
      <w:r w:rsidRPr="00AA234A">
        <w:rPr>
          <w:lang w:val="en-US"/>
        </w:rPr>
        <w:t>if current price is still “low” compared to a bullish projection, then you can consider entering a Long trade</w:t>
      </w:r>
    </w:p>
    <w:p w:rsidR="00AA234A" w:rsidRPr="00AA234A" w:rsidRDefault="00AA234A" w:rsidP="00AA234A">
      <w:pPr>
        <w:numPr>
          <w:ilvl w:val="0"/>
          <w:numId w:val="3"/>
        </w:numPr>
        <w:rPr>
          <w:lang w:val="en-US"/>
        </w:rPr>
      </w:pPr>
      <w:r w:rsidRPr="00AA234A">
        <w:rPr>
          <w:lang w:val="en-US"/>
        </w:rPr>
        <w:t>if current price is still “high” compared to a bearish projection, then you can consider entering a Short trade</w:t>
      </w:r>
    </w:p>
    <w:p w:rsidR="00AA234A" w:rsidRPr="00AA234A" w:rsidRDefault="00AA234A" w:rsidP="00AA234A">
      <w:pPr>
        <w:numPr>
          <w:ilvl w:val="0"/>
          <w:numId w:val="3"/>
        </w:numPr>
        <w:rPr>
          <w:lang w:val="en-US"/>
        </w:rPr>
      </w:pPr>
      <w:r w:rsidRPr="00AA234A">
        <w:rPr>
          <w:lang w:val="en-US"/>
        </w:rPr>
        <w:t>place the take profit taking into account the projection and relevant support/resistance areas you can spot in the last few bars</w:t>
      </w:r>
    </w:p>
    <w:p w:rsidR="00AA234A" w:rsidRPr="00AA234A" w:rsidRDefault="00AA234A" w:rsidP="00AA234A">
      <w:pPr>
        <w:numPr>
          <w:ilvl w:val="0"/>
          <w:numId w:val="3"/>
        </w:numPr>
        <w:rPr>
          <w:lang w:val="en-US"/>
        </w:rPr>
      </w:pPr>
      <w:r w:rsidRPr="00AA234A">
        <w:rPr>
          <w:lang w:val="en-US"/>
        </w:rPr>
        <w:t>if </w:t>
      </w:r>
      <w:r w:rsidRPr="00AA234A">
        <w:rPr>
          <w:b/>
          <w:bCs/>
          <w:lang w:val="en-US"/>
        </w:rPr>
        <w:t>FuturoFX</w:t>
      </w:r>
      <w:r w:rsidRPr="00AA234A">
        <w:rPr>
          <w:lang w:val="en-US"/>
        </w:rPr>
        <w:t> drastically changes its outlook, you should modify the take profit or close the trade</w:t>
      </w:r>
    </w:p>
    <w:p w:rsidR="00AA234A" w:rsidRPr="00AA234A" w:rsidRDefault="00AA234A" w:rsidP="00AA234A">
      <w:pPr>
        <w:rPr>
          <w:lang w:val="en-US"/>
        </w:rPr>
      </w:pPr>
      <w:r w:rsidRPr="00AA234A">
        <w:rPr>
          <w:lang w:val="en-US"/>
        </w:rPr>
        <w:t>Here is the basic logic for using </w:t>
      </w:r>
      <w:r w:rsidRPr="00AA234A">
        <w:rPr>
          <w:b/>
          <w:bCs/>
          <w:lang w:val="en-US"/>
        </w:rPr>
        <w:t>FuturoFX</w:t>
      </w:r>
      <w:r w:rsidRPr="00AA234A">
        <w:rPr>
          <w:lang w:val="en-US"/>
        </w:rPr>
        <w:t> as an end-of-day trading tool (</w:t>
      </w:r>
      <w:hyperlink r:id="rId16" w:tgtFrame="_blank" w:history="1">
        <w:r w:rsidRPr="00AA234A">
          <w:rPr>
            <w:rStyle w:val="Hipercze"/>
            <w:lang w:val="en-US"/>
          </w:rPr>
          <w:t>click here to learn more</w:t>
        </w:r>
      </w:hyperlink>
      <w:r w:rsidRPr="00AA234A">
        <w:rPr>
          <w:lang w:val="en-US"/>
        </w:rPr>
        <w:t>):</w:t>
      </w:r>
    </w:p>
    <w:p w:rsidR="00AA234A" w:rsidRPr="00AA234A" w:rsidRDefault="00AA234A" w:rsidP="00AA234A">
      <w:pPr>
        <w:numPr>
          <w:ilvl w:val="0"/>
          <w:numId w:val="4"/>
        </w:numPr>
        <w:rPr>
          <w:lang w:val="en-US"/>
        </w:rPr>
      </w:pPr>
      <w:r w:rsidRPr="00AA234A">
        <w:rPr>
          <w:lang w:val="en-US"/>
        </w:rPr>
        <w:t>open two </w:t>
      </w:r>
      <w:r w:rsidRPr="00AA234A">
        <w:rPr>
          <w:b/>
          <w:bCs/>
          <w:lang w:val="en-US"/>
        </w:rPr>
        <w:t>FuturoFX</w:t>
      </w:r>
      <w:r w:rsidRPr="00AA234A">
        <w:rPr>
          <w:lang w:val="en-US"/>
        </w:rPr>
        <w:t> charts around 00 GMT each day: H1 and H4 timeframes</w:t>
      </w:r>
    </w:p>
    <w:p w:rsidR="00AA234A" w:rsidRPr="00AA234A" w:rsidRDefault="00AA234A" w:rsidP="00AA234A">
      <w:pPr>
        <w:numPr>
          <w:ilvl w:val="0"/>
          <w:numId w:val="4"/>
        </w:numPr>
        <w:rPr>
          <w:lang w:val="en-US"/>
        </w:rPr>
      </w:pPr>
      <w:r w:rsidRPr="00AA234A">
        <w:rPr>
          <w:lang w:val="en-US"/>
        </w:rPr>
        <w:t>make sure the “average projection” and “best projection” don’t look messy on either charts</w:t>
      </w:r>
    </w:p>
    <w:p w:rsidR="00AA234A" w:rsidRPr="00AA234A" w:rsidRDefault="00AA234A" w:rsidP="00AA234A">
      <w:pPr>
        <w:numPr>
          <w:ilvl w:val="0"/>
          <w:numId w:val="4"/>
        </w:numPr>
        <w:rPr>
          <w:lang w:val="en-US"/>
        </w:rPr>
      </w:pPr>
      <w:r w:rsidRPr="00AA234A">
        <w:rPr>
          <w:lang w:val="en-US"/>
        </w:rPr>
        <w:t>determine if the projections on the two charts show “some agreement”</w:t>
      </w:r>
    </w:p>
    <w:p w:rsidR="00AA234A" w:rsidRPr="00AA234A" w:rsidRDefault="00AA234A" w:rsidP="00AA234A">
      <w:pPr>
        <w:numPr>
          <w:ilvl w:val="0"/>
          <w:numId w:val="4"/>
        </w:numPr>
        <w:rPr>
          <w:lang w:val="en-US"/>
        </w:rPr>
      </w:pPr>
      <w:r w:rsidRPr="00AA234A">
        <w:rPr>
          <w:lang w:val="en-US"/>
        </w:rPr>
        <w:t>if you can figure out the probable price pattern for the next day then enter a pending order with fixed SL and TP and with expiry 24 hours later</w:t>
      </w:r>
    </w:p>
    <w:p w:rsidR="00AA234A" w:rsidRPr="00AA234A" w:rsidRDefault="00AA234A" w:rsidP="00AA234A">
      <w:pPr>
        <w:numPr>
          <w:ilvl w:val="0"/>
          <w:numId w:val="4"/>
        </w:numPr>
        <w:rPr>
          <w:lang w:val="en-US"/>
        </w:rPr>
      </w:pPr>
      <w:r w:rsidRPr="00AA234A">
        <w:rPr>
          <w:lang w:val="en-US"/>
        </w:rPr>
        <w:lastRenderedPageBreak/>
        <w:t>in few cases (“strong agreement” beteween charts) a market order is required instead of a pending order, but always with fixed SL and TP levels</w:t>
      </w:r>
    </w:p>
    <w:p w:rsidR="00AA234A" w:rsidRPr="00AA234A" w:rsidRDefault="00AA234A" w:rsidP="00AA234A">
      <w:pPr>
        <w:numPr>
          <w:ilvl w:val="0"/>
          <w:numId w:val="4"/>
        </w:numPr>
        <w:rPr>
          <w:lang w:val="en-US"/>
        </w:rPr>
      </w:pPr>
      <w:r w:rsidRPr="00AA234A">
        <w:rPr>
          <w:lang w:val="en-US"/>
        </w:rPr>
        <w:t>SL and TP must be placed according to both price action suggested by </w:t>
      </w:r>
      <w:r w:rsidRPr="00AA234A">
        <w:rPr>
          <w:b/>
          <w:bCs/>
          <w:lang w:val="en-US"/>
        </w:rPr>
        <w:t>FuturoFX</w:t>
      </w:r>
      <w:r w:rsidRPr="00AA234A">
        <w:rPr>
          <w:lang w:val="en-US"/>
        </w:rPr>
        <w:t> and relevant support/resistance areas</w:t>
      </w:r>
    </w:p>
    <w:p w:rsidR="00AA234A" w:rsidRPr="00AA234A" w:rsidRDefault="00AA234A" w:rsidP="00AA234A">
      <w:pPr>
        <w:numPr>
          <w:ilvl w:val="0"/>
          <w:numId w:val="4"/>
        </w:numPr>
        <w:rPr>
          <w:lang w:val="en-US"/>
        </w:rPr>
      </w:pPr>
      <w:r w:rsidRPr="00AA234A">
        <w:rPr>
          <w:lang w:val="en-US"/>
        </w:rPr>
        <w:t>when you open the trading platform the next day at 00 GMT you should close the trade from the day before, if it is still open; then you can look at the H1 and H4 charts for deciding the next trade</w:t>
      </w:r>
    </w:p>
    <w:p w:rsidR="00AA234A" w:rsidRPr="00AA234A" w:rsidRDefault="00AA234A" w:rsidP="00AA234A">
      <w:pPr>
        <w:numPr>
          <w:ilvl w:val="0"/>
          <w:numId w:val="4"/>
        </w:numPr>
        <w:rPr>
          <w:lang w:val="en-US"/>
        </w:rPr>
      </w:pPr>
      <w:r w:rsidRPr="00AA234A">
        <w:rPr>
          <w:lang w:val="en-US"/>
        </w:rPr>
        <w:t>do not enter any trade if the charts look messy and you cannot figure out the probable price action for the next day (usually you’ll enter only 2 or 3 trades per week)</w:t>
      </w:r>
    </w:p>
    <w:p w:rsidR="00AA234A" w:rsidRPr="00AA234A" w:rsidRDefault="00AA234A" w:rsidP="00AA234A">
      <w:pPr>
        <w:rPr>
          <w:lang w:val="en-US"/>
        </w:rPr>
      </w:pPr>
      <w:r w:rsidRPr="00AA234A">
        <w:rPr>
          <w:lang w:val="en-US"/>
        </w:rPr>
        <w:t>Regarding binary options, honestly we are not experts in this filed, however </w:t>
      </w:r>
      <w:r w:rsidRPr="00AA234A">
        <w:rPr>
          <w:b/>
          <w:bCs/>
          <w:lang w:val="en-US"/>
        </w:rPr>
        <w:t>FuturoFX</w:t>
      </w:r>
      <w:r w:rsidRPr="00AA234A">
        <w:rPr>
          <w:lang w:val="en-US"/>
        </w:rPr>
        <w:t> seems like the perfect ally for “High/Low” trading. The High/Low method of trading binary options is a straightforward speculative position taken by the trader, who determines if the future market price is above or below the current strike price. The trader will experience a gain or a loss based on the prediction of whether or not the price is higher or lower than the entry price. This is exactly the kind of prediction that </w:t>
      </w:r>
      <w:r w:rsidRPr="00AA234A">
        <w:rPr>
          <w:b/>
          <w:bCs/>
          <w:lang w:val="en-US"/>
        </w:rPr>
        <w:t>FuturoFX</w:t>
      </w:r>
      <w:r w:rsidRPr="00AA234A">
        <w:rPr>
          <w:lang w:val="en-US"/>
        </w:rPr>
        <w:t> has been built to answer for. Many brokers provide “1 hour” binary options that can be traded throughout the day</w:t>
      </w:r>
    </w:p>
    <w:p w:rsidR="00AA234A" w:rsidRPr="00AA234A" w:rsidRDefault="00AA234A" w:rsidP="00AA234A">
      <w:pPr>
        <w:rPr>
          <w:b/>
          <w:bCs/>
          <w:lang w:val="en-US"/>
        </w:rPr>
      </w:pPr>
      <w:r w:rsidRPr="00AA234A">
        <w:rPr>
          <w:b/>
          <w:bCs/>
          <w:lang w:val="en-US"/>
        </w:rPr>
        <w:t>Options</w:t>
      </w:r>
    </w:p>
    <w:p w:rsidR="00AA234A" w:rsidRPr="00AA234A" w:rsidRDefault="00AA234A" w:rsidP="00AA234A">
      <w:pPr>
        <w:rPr>
          <w:lang w:val="en-US"/>
        </w:rPr>
      </w:pPr>
      <w:r w:rsidRPr="00AA234A">
        <w:rPr>
          <w:b/>
          <w:bCs/>
          <w:lang w:val="en-US"/>
        </w:rPr>
        <w:t>email ()</w:t>
      </w:r>
      <w:r w:rsidRPr="00AA234A">
        <w:rPr>
          <w:lang w:val="en-US"/>
        </w:rPr>
        <w:br/>
        <w:t>this field must contain the email address used for the transaction for buying the indicator, otherwise it will not be able to authenticate and it will display an “Authorization failed” message on chart.</w:t>
      </w:r>
    </w:p>
    <w:p w:rsidR="00AA234A" w:rsidRPr="00AA234A" w:rsidRDefault="00AA234A" w:rsidP="00AA234A">
      <w:pPr>
        <w:rPr>
          <w:lang w:val="en-US"/>
        </w:rPr>
      </w:pPr>
      <w:r w:rsidRPr="00AA234A">
        <w:rPr>
          <w:b/>
          <w:bCs/>
          <w:lang w:val="en-US"/>
        </w:rPr>
        <w:t>look_back (120)</w:t>
      </w:r>
      <w:r w:rsidRPr="00AA234A">
        <w:rPr>
          <w:lang w:val="en-US"/>
        </w:rPr>
        <w:br/>
        <w:t>this is the number of bars in each history block that FuturoFX uses for computing correlation.</w:t>
      </w:r>
    </w:p>
    <w:p w:rsidR="00AA234A" w:rsidRPr="00AA234A" w:rsidRDefault="00AA234A" w:rsidP="00AA234A">
      <w:pPr>
        <w:rPr>
          <w:lang w:val="en-US"/>
        </w:rPr>
      </w:pPr>
      <w:r w:rsidRPr="00AA234A">
        <w:rPr>
          <w:b/>
          <w:bCs/>
          <w:lang w:val="en-US"/>
        </w:rPr>
        <w:t>look_forward (24)</w:t>
      </w:r>
      <w:r w:rsidRPr="00AA234A">
        <w:rPr>
          <w:lang w:val="en-US"/>
        </w:rPr>
        <w:br/>
        <w:t>this is the number of bars “in the future” displayed by FuturoFX with the “Average Projection” and “Best Projection”. Beware: the higher this number the less reliable the prediction on the bars that are most projected into the future.</w:t>
      </w:r>
    </w:p>
    <w:p w:rsidR="00AA234A" w:rsidRPr="00AA234A" w:rsidRDefault="00AA234A" w:rsidP="00AA234A">
      <w:pPr>
        <w:rPr>
          <w:lang w:val="en-US"/>
        </w:rPr>
      </w:pPr>
      <w:r w:rsidRPr="00AA234A">
        <w:rPr>
          <w:b/>
          <w:bCs/>
          <w:lang w:val="en-US"/>
        </w:rPr>
        <w:t>max_history (1440)</w:t>
      </w:r>
      <w:r w:rsidRPr="00AA234A">
        <w:rPr>
          <w:lang w:val="en-US"/>
        </w:rPr>
        <w:br/>
        <w:t>this is the max number of bars that FuturoFX examines in the history when computing correlations. If max_history=0 then FuturoFX takes into account the whole history available on chart.</w:t>
      </w:r>
    </w:p>
    <w:p w:rsidR="00AA234A" w:rsidRPr="00AA234A" w:rsidRDefault="00AA234A" w:rsidP="00AA234A">
      <w:pPr>
        <w:rPr>
          <w:lang w:val="en-US"/>
        </w:rPr>
      </w:pPr>
      <w:r w:rsidRPr="00AA234A">
        <w:rPr>
          <w:b/>
          <w:bCs/>
          <w:lang w:val="en-US"/>
        </w:rPr>
        <w:t>correlation_data (“OHLC”)</w:t>
      </w:r>
      <w:r w:rsidRPr="00AA234A">
        <w:rPr>
          <w:lang w:val="en-US"/>
        </w:rPr>
        <w:br/>
        <w:t>these are the data used by FuturoFX when computing correlations. The default value “OHLC” means that FuturoFX actually performs 4 correlations at the same time on Open, High, Low, and Close data, and then it makes an average of these four correlations. The user can choose any combination of data (the order doesn’t matter): O=Open, H=High, L=Low, C=Close, M=Median, T=Typical, W=Weighted. As an example correlation_data = “HLT” means that FuturoFX will perform 3 correlations on High, Low, and Typical data.</w:t>
      </w:r>
    </w:p>
    <w:p w:rsidR="00AA234A" w:rsidRPr="00AA234A" w:rsidRDefault="00AA234A" w:rsidP="00AA234A">
      <w:pPr>
        <w:rPr>
          <w:lang w:val="en-US"/>
        </w:rPr>
      </w:pPr>
      <w:r w:rsidRPr="00AA234A">
        <w:rPr>
          <w:b/>
          <w:bCs/>
          <w:lang w:val="en-US"/>
        </w:rPr>
        <w:t>cor_threshold (75)</w:t>
      </w:r>
      <w:r w:rsidRPr="00AA234A">
        <w:rPr>
          <w:b/>
          <w:bCs/>
          <w:lang w:val="en-US"/>
        </w:rPr>
        <w:br/>
      </w:r>
      <w:r w:rsidRPr="00AA234A">
        <w:rPr>
          <w:lang w:val="en-US"/>
        </w:rPr>
        <w:t xml:space="preserve">this is the threshold set for correlations. Only correlations above this threshold are taken into </w:t>
      </w:r>
      <w:r w:rsidRPr="00AA234A">
        <w:rPr>
          <w:lang w:val="en-US"/>
        </w:rPr>
        <w:lastRenderedPageBreak/>
        <w:t>account by </w:t>
      </w:r>
      <w:r w:rsidRPr="00AA234A">
        <w:rPr>
          <w:b/>
          <w:bCs/>
          <w:lang w:val="en-US"/>
        </w:rPr>
        <w:t>FuturoFX</w:t>
      </w:r>
      <w:r w:rsidRPr="00AA234A">
        <w:rPr>
          <w:lang w:val="en-US"/>
        </w:rPr>
        <w:t> for computing the “Average Projection”. If the user sets a negative number (e.g. -75) then </w:t>
      </w:r>
      <w:r w:rsidRPr="00AA234A">
        <w:rPr>
          <w:b/>
          <w:bCs/>
          <w:lang w:val="en-US"/>
        </w:rPr>
        <w:t>FuturoFX</w:t>
      </w:r>
      <w:r w:rsidRPr="00AA234A">
        <w:rPr>
          <w:lang w:val="en-US"/>
        </w:rPr>
        <w:t> will look for both strong positive and strong negative correlations.</w:t>
      </w:r>
    </w:p>
    <w:p w:rsidR="00AA234A" w:rsidRPr="00AA234A" w:rsidRDefault="00AA234A" w:rsidP="00AA234A">
      <w:pPr>
        <w:rPr>
          <w:lang w:val="en-US"/>
        </w:rPr>
      </w:pPr>
      <w:r w:rsidRPr="00AA234A">
        <w:rPr>
          <w:b/>
          <w:bCs/>
          <w:lang w:val="en-US"/>
        </w:rPr>
        <w:t>select_best_correlations (50)</w:t>
      </w:r>
      <w:r w:rsidRPr="00AA234A">
        <w:rPr>
          <w:b/>
          <w:bCs/>
          <w:lang w:val="en-US"/>
        </w:rPr>
        <w:br/>
      </w:r>
      <w:r w:rsidRPr="00AA234A">
        <w:rPr>
          <w:lang w:val="en-US"/>
        </w:rPr>
        <w:t>this is a further filter on the OHB sequences selected by </w:t>
      </w:r>
      <w:r w:rsidRPr="00AA234A">
        <w:rPr>
          <w:b/>
          <w:bCs/>
          <w:lang w:val="en-US"/>
        </w:rPr>
        <w:t>FuturoFX</w:t>
      </w:r>
      <w:r w:rsidRPr="00AA234A">
        <w:rPr>
          <w:lang w:val="en-US"/>
        </w:rPr>
        <w:t> for computing the “Average Projection”. The default value (50) means that only the 50 best correlation matches are taken into account for computing the ”Average Projection”. This feature is disabled when selct_best_correlations = 0: in this case ALL correlations matches above the threshold are taken into account.</w:t>
      </w:r>
    </w:p>
    <w:p w:rsidR="00AA234A" w:rsidRPr="00AA234A" w:rsidRDefault="00AA234A" w:rsidP="00AA234A">
      <w:pPr>
        <w:rPr>
          <w:lang w:val="en-US"/>
        </w:rPr>
      </w:pPr>
      <w:r w:rsidRPr="00AA234A">
        <w:rPr>
          <w:b/>
          <w:bCs/>
          <w:lang w:val="en-US"/>
        </w:rPr>
        <w:t>display_options (“TABR”)</w:t>
      </w:r>
      <w:r w:rsidRPr="00AA234A">
        <w:rPr>
          <w:b/>
          <w:bCs/>
          <w:lang w:val="en-US"/>
        </w:rPr>
        <w:br/>
      </w:r>
      <w:r w:rsidRPr="00AA234A">
        <w:rPr>
          <w:lang w:val="en-US"/>
        </w:rPr>
        <w:t>this field represents the textual and graphical output of </w:t>
      </w:r>
      <w:r w:rsidRPr="00AA234A">
        <w:rPr>
          <w:b/>
          <w:bCs/>
          <w:lang w:val="en-US"/>
        </w:rPr>
        <w:t>FuturoFX</w:t>
      </w:r>
      <w:r w:rsidRPr="00AA234A">
        <w:rPr>
          <w:lang w:val="en-US"/>
        </w:rPr>
        <w:t>. The default value (“TABR”) means that </w:t>
      </w:r>
      <w:r w:rsidRPr="00AA234A">
        <w:rPr>
          <w:b/>
          <w:bCs/>
          <w:lang w:val="en-US"/>
        </w:rPr>
        <w:t>FuturoFX</w:t>
      </w:r>
      <w:r w:rsidRPr="00AA234A">
        <w:rPr>
          <w:lang w:val="en-US"/>
        </w:rPr>
        <w:t> will display the Textual Interface (“T”), the “Average Projection” (“A”), the “Best Projection” (“B”), and the “Rectangles” (“R”). Other available options are “Barycentres” (“C” like “Center of Mass”), “Standard Deviations” (“S”), and “Outliers” (“O”). The user can select any combination of options (the order doesn’t matter). As an example display_options “ABC” means that </w:t>
      </w:r>
      <w:r w:rsidRPr="00AA234A">
        <w:rPr>
          <w:b/>
          <w:bCs/>
          <w:lang w:val="en-US"/>
        </w:rPr>
        <w:t>FuturoFX</w:t>
      </w:r>
      <w:r w:rsidRPr="00AA234A">
        <w:rPr>
          <w:lang w:val="en-US"/>
        </w:rPr>
        <w:t>will only display “Average Projection”, “Best Projection”, and “Barycentres” (and no Textual Interface).</w:t>
      </w:r>
    </w:p>
    <w:p w:rsidR="00AA234A" w:rsidRPr="00AA234A" w:rsidRDefault="00AA234A" w:rsidP="00AA234A">
      <w:pPr>
        <w:rPr>
          <w:lang w:val="en-US"/>
        </w:rPr>
      </w:pPr>
      <w:r w:rsidRPr="00AA234A">
        <w:rPr>
          <w:b/>
          <w:bCs/>
          <w:lang w:val="en-US"/>
        </w:rPr>
        <w:t>avg_projection_color (Tomato)</w:t>
      </w:r>
      <w:r w:rsidRPr="00AA234A">
        <w:rPr>
          <w:b/>
          <w:bCs/>
          <w:lang w:val="en-US"/>
        </w:rPr>
        <w:br/>
      </w:r>
      <w:r w:rsidRPr="00AA234A">
        <w:rPr>
          <w:lang w:val="en-US"/>
        </w:rPr>
        <w:t>this is color of the graphical element “Average Projection”.</w:t>
      </w:r>
    </w:p>
    <w:p w:rsidR="00AA234A" w:rsidRPr="00AA234A" w:rsidRDefault="00AA234A" w:rsidP="00AA234A">
      <w:pPr>
        <w:rPr>
          <w:lang w:val="en-US"/>
        </w:rPr>
      </w:pPr>
      <w:r w:rsidRPr="00AA234A">
        <w:rPr>
          <w:b/>
          <w:bCs/>
          <w:lang w:val="en-US"/>
        </w:rPr>
        <w:t>best_projection_color (Yellow)</w:t>
      </w:r>
      <w:r w:rsidRPr="00AA234A">
        <w:rPr>
          <w:b/>
          <w:bCs/>
          <w:lang w:val="en-US"/>
        </w:rPr>
        <w:br/>
      </w:r>
      <w:r w:rsidRPr="00AA234A">
        <w:rPr>
          <w:lang w:val="en-US"/>
        </w:rPr>
        <w:t>this is color of the graphical element “Best Projection”.</w:t>
      </w:r>
    </w:p>
    <w:p w:rsidR="00AA234A" w:rsidRPr="00AA234A" w:rsidRDefault="00AA234A" w:rsidP="00AA234A">
      <w:pPr>
        <w:rPr>
          <w:lang w:val="en-US"/>
        </w:rPr>
      </w:pPr>
      <w:r w:rsidRPr="00AA234A">
        <w:rPr>
          <w:b/>
          <w:bCs/>
          <w:lang w:val="en-US"/>
        </w:rPr>
        <w:t>text_size (10)</w:t>
      </w:r>
      <w:r w:rsidRPr="00AA234A">
        <w:rPr>
          <w:b/>
          <w:bCs/>
          <w:lang w:val="en-US"/>
        </w:rPr>
        <w:br/>
      </w:r>
      <w:r w:rsidRPr="00AA234A">
        <w:rPr>
          <w:lang w:val="en-US"/>
        </w:rPr>
        <w:t>this is the size of text associated to the graphical elements”Average Projection” and “Best Projection”.</w:t>
      </w:r>
    </w:p>
    <w:p w:rsidR="00AA234A" w:rsidRPr="00AA234A" w:rsidRDefault="00AA234A" w:rsidP="00AA234A">
      <w:pPr>
        <w:rPr>
          <w:lang w:val="en-US"/>
        </w:rPr>
      </w:pPr>
      <w:r w:rsidRPr="00AA234A">
        <w:rPr>
          <w:b/>
          <w:bCs/>
          <w:lang w:val="en-US"/>
        </w:rPr>
        <w:t>text_font (“Segoe UI”)</w:t>
      </w:r>
      <w:r w:rsidRPr="00AA234A">
        <w:rPr>
          <w:b/>
          <w:bCs/>
          <w:lang w:val="en-US"/>
        </w:rPr>
        <w:br/>
      </w:r>
      <w:r w:rsidRPr="00AA234A">
        <w:rPr>
          <w:lang w:val="en-US"/>
        </w:rPr>
        <w:t>this is the font of text associated to the graphical elements”Average Projection” and “Best Projection”.</w:t>
      </w:r>
    </w:p>
    <w:p w:rsidR="00AA234A" w:rsidRPr="00AA234A" w:rsidRDefault="00AA234A" w:rsidP="00AA234A">
      <w:pPr>
        <w:rPr>
          <w:lang w:val="en-US"/>
        </w:rPr>
      </w:pPr>
      <w:r w:rsidRPr="00AA234A">
        <w:rPr>
          <w:b/>
          <w:bCs/>
          <w:lang w:val="en-US"/>
        </w:rPr>
        <w:t>window_screenshot (“0″)</w:t>
      </w:r>
      <w:r w:rsidRPr="00AA234A">
        <w:rPr>
          <w:b/>
          <w:bCs/>
          <w:lang w:val="en-US"/>
        </w:rPr>
        <w:br/>
      </w:r>
      <w:r w:rsidRPr="00AA234A">
        <w:rPr>
          <w:lang w:val="en-US"/>
        </w:rPr>
        <w:t>the default value “0″ means that </w:t>
      </w:r>
      <w:r w:rsidRPr="00AA234A">
        <w:rPr>
          <w:b/>
          <w:bCs/>
          <w:lang w:val="en-US"/>
        </w:rPr>
        <w:t>FuturoFX</w:t>
      </w:r>
      <w:r w:rsidRPr="00AA234A">
        <w:rPr>
          <w:lang w:val="en-US"/>
        </w:rPr>
        <w:t> does not take any screenshot of the current chart automatically. When “1″</w:t>
      </w:r>
      <w:r w:rsidRPr="00AA234A">
        <w:rPr>
          <w:b/>
          <w:bCs/>
          <w:lang w:val="en-US"/>
        </w:rPr>
        <w:t>FuturoFX</w:t>
      </w:r>
      <w:r w:rsidRPr="00AA234A">
        <w:rPr>
          <w:lang w:val="en-US"/>
        </w:rPr>
        <w:t> takes a new 1024×768 pixels screenshot of the current chart at each new incoming bar. The file is placed in the “experts/files/” folder  of the MT4 installation with a name like “FuturoFX/EURUSD_M5/EURUSD_M5_2012-10-29_0950.gif” (this is a screenshot taken at 09:50 of the 29th October 2012 on a EURUSD 5 minute chart). The screenshots are automatically organized into subfolders. If window_screenshot = “4″ then a screenshot is taken automatically each 4 bars, and so on. The user can also put a string like window_screenshot = “H13″ and that means a screenshot is taken each time the last incoming bar is a 13 GMT.</w:t>
      </w:r>
      <w:r w:rsidRPr="00AA234A">
        <w:rPr>
          <w:lang w:val="en-US"/>
        </w:rPr>
        <w:br/>
        <w:t>A further option is the dimension of the image in pixels. As an example  window_screenshot = “2;1000;700″ means that a 1000×700 pixels screenshot is taken each two bars.</w:t>
      </w:r>
      <w:r w:rsidRPr="00AA234A">
        <w:rPr>
          <w:lang w:val="en-US"/>
        </w:rPr>
        <w:br/>
        <w:t>Since </w:t>
      </w:r>
      <w:r w:rsidRPr="00AA234A">
        <w:rPr>
          <w:b/>
          <w:bCs/>
          <w:lang w:val="en-US"/>
        </w:rPr>
        <w:t>FuturoFX</w:t>
      </w:r>
      <w:r w:rsidRPr="00AA234A">
        <w:rPr>
          <w:lang w:val="en-US"/>
        </w:rPr>
        <w:t> cannot display information in the past, taking screenshot is a convenient way of keeping trace of how it behaved during the trading day.</w:t>
      </w:r>
    </w:p>
    <w:p w:rsidR="00227F85" w:rsidRPr="00AA234A" w:rsidRDefault="00227F85">
      <w:pPr>
        <w:rPr>
          <w:lang w:val="en-US"/>
        </w:rPr>
      </w:pPr>
      <w:bookmarkStart w:id="0" w:name="_GoBack"/>
      <w:bookmarkEnd w:id="0"/>
    </w:p>
    <w:sectPr w:rsidR="00227F85" w:rsidRPr="00AA23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903E5"/>
    <w:multiLevelType w:val="multilevel"/>
    <w:tmpl w:val="29CE4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05C1F76"/>
    <w:multiLevelType w:val="multilevel"/>
    <w:tmpl w:val="4F96B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4D9735A"/>
    <w:multiLevelType w:val="multilevel"/>
    <w:tmpl w:val="47E0A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66A1C78"/>
    <w:multiLevelType w:val="multilevel"/>
    <w:tmpl w:val="DEF26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34A"/>
    <w:rsid w:val="00227F85"/>
    <w:rsid w:val="00AA23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AA234A"/>
    <w:rPr>
      <w:color w:val="0000FF" w:themeColor="hyperlink"/>
      <w:u w:val="single"/>
    </w:rPr>
  </w:style>
  <w:style w:type="paragraph" w:styleId="Tekstdymka">
    <w:name w:val="Balloon Text"/>
    <w:basedOn w:val="Normalny"/>
    <w:link w:val="TekstdymkaZnak"/>
    <w:uiPriority w:val="99"/>
    <w:semiHidden/>
    <w:unhideWhenUsed/>
    <w:rsid w:val="00AA234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23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AA234A"/>
    <w:rPr>
      <w:color w:val="0000FF" w:themeColor="hyperlink"/>
      <w:u w:val="single"/>
    </w:rPr>
  </w:style>
  <w:style w:type="paragraph" w:styleId="Tekstdymka">
    <w:name w:val="Balloon Text"/>
    <w:basedOn w:val="Normalny"/>
    <w:link w:val="TekstdymkaZnak"/>
    <w:uiPriority w:val="99"/>
    <w:semiHidden/>
    <w:unhideWhenUsed/>
    <w:rsid w:val="00AA234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23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213873">
      <w:bodyDiv w:val="1"/>
      <w:marLeft w:val="0"/>
      <w:marRight w:val="0"/>
      <w:marTop w:val="0"/>
      <w:marBottom w:val="0"/>
      <w:divBdr>
        <w:top w:val="none" w:sz="0" w:space="0" w:color="auto"/>
        <w:left w:val="none" w:sz="0" w:space="0" w:color="auto"/>
        <w:bottom w:val="none" w:sz="0" w:space="0" w:color="auto"/>
        <w:right w:val="none" w:sz="0" w:space="0" w:color="auto"/>
      </w:divBdr>
      <w:divsChild>
        <w:div w:id="1878155970">
          <w:marLeft w:val="0"/>
          <w:marRight w:val="0"/>
          <w:marTop w:val="0"/>
          <w:marBottom w:val="0"/>
          <w:divBdr>
            <w:top w:val="none" w:sz="0" w:space="0" w:color="auto"/>
            <w:left w:val="none" w:sz="0" w:space="0" w:color="auto"/>
            <w:bottom w:val="none" w:sz="0" w:space="0" w:color="auto"/>
            <w:right w:val="none" w:sz="0" w:space="0" w:color="auto"/>
          </w:divBdr>
          <w:divsChild>
            <w:div w:id="998851213">
              <w:marLeft w:val="0"/>
              <w:marRight w:val="0"/>
              <w:marTop w:val="0"/>
              <w:marBottom w:val="0"/>
              <w:divBdr>
                <w:top w:val="none" w:sz="0" w:space="0" w:color="auto"/>
                <w:left w:val="none" w:sz="0" w:space="0" w:color="auto"/>
                <w:bottom w:val="none" w:sz="0" w:space="0" w:color="auto"/>
                <w:right w:val="none" w:sz="0" w:space="0" w:color="auto"/>
              </w:divBdr>
              <w:divsChild>
                <w:div w:id="1388141725">
                  <w:marLeft w:val="0"/>
                  <w:marRight w:val="0"/>
                  <w:marTop w:val="0"/>
                  <w:marBottom w:val="0"/>
                  <w:divBdr>
                    <w:top w:val="none" w:sz="0" w:space="0" w:color="auto"/>
                    <w:left w:val="none" w:sz="0" w:space="0" w:color="auto"/>
                    <w:bottom w:val="none" w:sz="0" w:space="0" w:color="auto"/>
                    <w:right w:val="none" w:sz="0" w:space="0" w:color="auto"/>
                  </w:divBdr>
                </w:div>
                <w:div w:id="604264394">
                  <w:marLeft w:val="0"/>
                  <w:marRight w:val="0"/>
                  <w:marTop w:val="0"/>
                  <w:marBottom w:val="0"/>
                  <w:divBdr>
                    <w:top w:val="none" w:sz="0" w:space="0" w:color="auto"/>
                    <w:left w:val="none" w:sz="0" w:space="0" w:color="auto"/>
                    <w:bottom w:val="none" w:sz="0" w:space="0" w:color="auto"/>
                    <w:right w:val="none" w:sz="0" w:space="0" w:color="auto"/>
                  </w:divBdr>
                </w:div>
                <w:div w:id="2111005532">
                  <w:marLeft w:val="0"/>
                  <w:marRight w:val="0"/>
                  <w:marTop w:val="0"/>
                  <w:marBottom w:val="0"/>
                  <w:divBdr>
                    <w:top w:val="none" w:sz="0" w:space="0" w:color="auto"/>
                    <w:left w:val="none" w:sz="0" w:space="0" w:color="auto"/>
                    <w:bottom w:val="none" w:sz="0" w:space="0" w:color="auto"/>
                    <w:right w:val="none" w:sz="0" w:space="0" w:color="auto"/>
                  </w:divBdr>
                </w:div>
                <w:div w:id="1547335575">
                  <w:marLeft w:val="0"/>
                  <w:marRight w:val="0"/>
                  <w:marTop w:val="0"/>
                  <w:marBottom w:val="0"/>
                  <w:divBdr>
                    <w:top w:val="none" w:sz="0" w:space="0" w:color="auto"/>
                    <w:left w:val="none" w:sz="0" w:space="0" w:color="auto"/>
                    <w:bottom w:val="none" w:sz="0" w:space="0" w:color="auto"/>
                    <w:right w:val="none" w:sz="0" w:space="0" w:color="auto"/>
                  </w:divBdr>
                </w:div>
                <w:div w:id="420300891">
                  <w:marLeft w:val="0"/>
                  <w:marRight w:val="0"/>
                  <w:marTop w:val="0"/>
                  <w:marBottom w:val="0"/>
                  <w:divBdr>
                    <w:top w:val="none" w:sz="0" w:space="0" w:color="auto"/>
                    <w:left w:val="none" w:sz="0" w:space="0" w:color="auto"/>
                    <w:bottom w:val="none" w:sz="0" w:space="0" w:color="auto"/>
                    <w:right w:val="none" w:sz="0" w:space="0" w:color="auto"/>
                  </w:divBdr>
                </w:div>
                <w:div w:id="1711299472">
                  <w:marLeft w:val="0"/>
                  <w:marRight w:val="0"/>
                  <w:marTop w:val="0"/>
                  <w:marBottom w:val="0"/>
                  <w:divBdr>
                    <w:top w:val="none" w:sz="0" w:space="0" w:color="auto"/>
                    <w:left w:val="none" w:sz="0" w:space="0" w:color="auto"/>
                    <w:bottom w:val="none" w:sz="0" w:space="0" w:color="auto"/>
                    <w:right w:val="none" w:sz="0" w:space="0" w:color="auto"/>
                  </w:divBdr>
                </w:div>
                <w:div w:id="913130335">
                  <w:marLeft w:val="0"/>
                  <w:marRight w:val="0"/>
                  <w:marTop w:val="0"/>
                  <w:marBottom w:val="0"/>
                  <w:divBdr>
                    <w:top w:val="none" w:sz="0" w:space="0" w:color="auto"/>
                    <w:left w:val="none" w:sz="0" w:space="0" w:color="auto"/>
                    <w:bottom w:val="none" w:sz="0" w:space="0" w:color="auto"/>
                    <w:right w:val="none" w:sz="0" w:space="0" w:color="auto"/>
                  </w:divBdr>
                </w:div>
              </w:divsChild>
            </w:div>
            <w:div w:id="920212174">
              <w:marLeft w:val="0"/>
              <w:marRight w:val="0"/>
              <w:marTop w:val="0"/>
              <w:marBottom w:val="0"/>
              <w:divBdr>
                <w:top w:val="none" w:sz="0" w:space="0" w:color="auto"/>
                <w:left w:val="none" w:sz="0" w:space="0" w:color="auto"/>
                <w:bottom w:val="none" w:sz="0" w:space="0" w:color="auto"/>
                <w:right w:val="none" w:sz="0" w:space="0" w:color="auto"/>
              </w:divBdr>
            </w:div>
            <w:div w:id="1204174856">
              <w:marLeft w:val="0"/>
              <w:marRight w:val="0"/>
              <w:marTop w:val="0"/>
              <w:marBottom w:val="0"/>
              <w:divBdr>
                <w:top w:val="none" w:sz="0" w:space="0" w:color="auto"/>
                <w:left w:val="none" w:sz="0" w:space="0" w:color="auto"/>
                <w:bottom w:val="none" w:sz="0" w:space="0" w:color="auto"/>
                <w:right w:val="none" w:sz="0" w:space="0" w:color="auto"/>
              </w:divBdr>
            </w:div>
            <w:div w:id="120928800">
              <w:marLeft w:val="0"/>
              <w:marRight w:val="0"/>
              <w:marTop w:val="0"/>
              <w:marBottom w:val="0"/>
              <w:divBdr>
                <w:top w:val="none" w:sz="0" w:space="0" w:color="auto"/>
                <w:left w:val="none" w:sz="0" w:space="0" w:color="auto"/>
                <w:bottom w:val="none" w:sz="0" w:space="0" w:color="auto"/>
                <w:right w:val="none" w:sz="0" w:space="0" w:color="auto"/>
              </w:divBdr>
            </w:div>
            <w:div w:id="1123814037">
              <w:marLeft w:val="0"/>
              <w:marRight w:val="0"/>
              <w:marTop w:val="0"/>
              <w:marBottom w:val="0"/>
              <w:divBdr>
                <w:top w:val="none" w:sz="0" w:space="0" w:color="auto"/>
                <w:left w:val="none" w:sz="0" w:space="0" w:color="auto"/>
                <w:bottom w:val="none" w:sz="0" w:space="0" w:color="auto"/>
                <w:right w:val="none" w:sz="0" w:space="0" w:color="auto"/>
              </w:divBdr>
              <w:divsChild>
                <w:div w:id="970940441">
                  <w:marLeft w:val="0"/>
                  <w:marRight w:val="0"/>
                  <w:marTop w:val="0"/>
                  <w:marBottom w:val="0"/>
                  <w:divBdr>
                    <w:top w:val="none" w:sz="0" w:space="0" w:color="auto"/>
                    <w:left w:val="none" w:sz="0" w:space="0" w:color="auto"/>
                    <w:bottom w:val="none" w:sz="0" w:space="0" w:color="auto"/>
                    <w:right w:val="none" w:sz="0" w:space="0" w:color="auto"/>
                  </w:divBdr>
                  <w:divsChild>
                    <w:div w:id="48427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812538">
      <w:bodyDiv w:val="1"/>
      <w:marLeft w:val="0"/>
      <w:marRight w:val="0"/>
      <w:marTop w:val="0"/>
      <w:marBottom w:val="0"/>
      <w:divBdr>
        <w:top w:val="none" w:sz="0" w:space="0" w:color="auto"/>
        <w:left w:val="none" w:sz="0" w:space="0" w:color="auto"/>
        <w:bottom w:val="none" w:sz="0" w:space="0" w:color="auto"/>
        <w:right w:val="none" w:sz="0" w:space="0" w:color="auto"/>
      </w:divBdr>
      <w:divsChild>
        <w:div w:id="1563715790">
          <w:marLeft w:val="0"/>
          <w:marRight w:val="0"/>
          <w:marTop w:val="0"/>
          <w:marBottom w:val="0"/>
          <w:divBdr>
            <w:top w:val="none" w:sz="0" w:space="0" w:color="auto"/>
            <w:left w:val="none" w:sz="0" w:space="0" w:color="auto"/>
            <w:bottom w:val="none" w:sz="0" w:space="0" w:color="auto"/>
            <w:right w:val="none" w:sz="0" w:space="0" w:color="auto"/>
          </w:divBdr>
          <w:divsChild>
            <w:div w:id="743181373">
              <w:marLeft w:val="0"/>
              <w:marRight w:val="0"/>
              <w:marTop w:val="0"/>
              <w:marBottom w:val="0"/>
              <w:divBdr>
                <w:top w:val="none" w:sz="0" w:space="0" w:color="auto"/>
                <w:left w:val="none" w:sz="0" w:space="0" w:color="auto"/>
                <w:bottom w:val="none" w:sz="0" w:space="0" w:color="auto"/>
                <w:right w:val="none" w:sz="0" w:space="0" w:color="auto"/>
              </w:divBdr>
              <w:divsChild>
                <w:div w:id="1024205523">
                  <w:marLeft w:val="0"/>
                  <w:marRight w:val="0"/>
                  <w:marTop w:val="0"/>
                  <w:marBottom w:val="0"/>
                  <w:divBdr>
                    <w:top w:val="none" w:sz="0" w:space="0" w:color="auto"/>
                    <w:left w:val="none" w:sz="0" w:space="0" w:color="auto"/>
                    <w:bottom w:val="none" w:sz="0" w:space="0" w:color="auto"/>
                    <w:right w:val="none" w:sz="0" w:space="0" w:color="auto"/>
                  </w:divBdr>
                </w:div>
                <w:div w:id="29455759">
                  <w:marLeft w:val="0"/>
                  <w:marRight w:val="0"/>
                  <w:marTop w:val="0"/>
                  <w:marBottom w:val="0"/>
                  <w:divBdr>
                    <w:top w:val="none" w:sz="0" w:space="0" w:color="auto"/>
                    <w:left w:val="none" w:sz="0" w:space="0" w:color="auto"/>
                    <w:bottom w:val="none" w:sz="0" w:space="0" w:color="auto"/>
                    <w:right w:val="none" w:sz="0" w:space="0" w:color="auto"/>
                  </w:divBdr>
                </w:div>
                <w:div w:id="347174063">
                  <w:marLeft w:val="0"/>
                  <w:marRight w:val="0"/>
                  <w:marTop w:val="0"/>
                  <w:marBottom w:val="0"/>
                  <w:divBdr>
                    <w:top w:val="none" w:sz="0" w:space="0" w:color="auto"/>
                    <w:left w:val="none" w:sz="0" w:space="0" w:color="auto"/>
                    <w:bottom w:val="none" w:sz="0" w:space="0" w:color="auto"/>
                    <w:right w:val="none" w:sz="0" w:space="0" w:color="auto"/>
                  </w:divBdr>
                </w:div>
                <w:div w:id="13844953">
                  <w:marLeft w:val="0"/>
                  <w:marRight w:val="0"/>
                  <w:marTop w:val="0"/>
                  <w:marBottom w:val="0"/>
                  <w:divBdr>
                    <w:top w:val="none" w:sz="0" w:space="0" w:color="auto"/>
                    <w:left w:val="none" w:sz="0" w:space="0" w:color="auto"/>
                    <w:bottom w:val="none" w:sz="0" w:space="0" w:color="auto"/>
                    <w:right w:val="none" w:sz="0" w:space="0" w:color="auto"/>
                  </w:divBdr>
                </w:div>
                <w:div w:id="1347829677">
                  <w:marLeft w:val="0"/>
                  <w:marRight w:val="0"/>
                  <w:marTop w:val="0"/>
                  <w:marBottom w:val="0"/>
                  <w:divBdr>
                    <w:top w:val="none" w:sz="0" w:space="0" w:color="auto"/>
                    <w:left w:val="none" w:sz="0" w:space="0" w:color="auto"/>
                    <w:bottom w:val="none" w:sz="0" w:space="0" w:color="auto"/>
                    <w:right w:val="none" w:sz="0" w:space="0" w:color="auto"/>
                  </w:divBdr>
                </w:div>
                <w:div w:id="1699551103">
                  <w:marLeft w:val="0"/>
                  <w:marRight w:val="0"/>
                  <w:marTop w:val="0"/>
                  <w:marBottom w:val="0"/>
                  <w:divBdr>
                    <w:top w:val="none" w:sz="0" w:space="0" w:color="auto"/>
                    <w:left w:val="none" w:sz="0" w:space="0" w:color="auto"/>
                    <w:bottom w:val="none" w:sz="0" w:space="0" w:color="auto"/>
                    <w:right w:val="none" w:sz="0" w:space="0" w:color="auto"/>
                  </w:divBdr>
                </w:div>
                <w:div w:id="2128892127">
                  <w:marLeft w:val="0"/>
                  <w:marRight w:val="0"/>
                  <w:marTop w:val="0"/>
                  <w:marBottom w:val="0"/>
                  <w:divBdr>
                    <w:top w:val="none" w:sz="0" w:space="0" w:color="auto"/>
                    <w:left w:val="none" w:sz="0" w:space="0" w:color="auto"/>
                    <w:bottom w:val="none" w:sz="0" w:space="0" w:color="auto"/>
                    <w:right w:val="none" w:sz="0" w:space="0" w:color="auto"/>
                  </w:divBdr>
                </w:div>
              </w:divsChild>
            </w:div>
            <w:div w:id="428624613">
              <w:marLeft w:val="0"/>
              <w:marRight w:val="0"/>
              <w:marTop w:val="0"/>
              <w:marBottom w:val="0"/>
              <w:divBdr>
                <w:top w:val="none" w:sz="0" w:space="0" w:color="auto"/>
                <w:left w:val="none" w:sz="0" w:space="0" w:color="auto"/>
                <w:bottom w:val="none" w:sz="0" w:space="0" w:color="auto"/>
                <w:right w:val="none" w:sz="0" w:space="0" w:color="auto"/>
              </w:divBdr>
            </w:div>
            <w:div w:id="1739862971">
              <w:marLeft w:val="0"/>
              <w:marRight w:val="0"/>
              <w:marTop w:val="0"/>
              <w:marBottom w:val="0"/>
              <w:divBdr>
                <w:top w:val="none" w:sz="0" w:space="0" w:color="auto"/>
                <w:left w:val="none" w:sz="0" w:space="0" w:color="auto"/>
                <w:bottom w:val="none" w:sz="0" w:space="0" w:color="auto"/>
                <w:right w:val="none" w:sz="0" w:space="0" w:color="auto"/>
              </w:divBdr>
            </w:div>
            <w:div w:id="775759471">
              <w:marLeft w:val="0"/>
              <w:marRight w:val="0"/>
              <w:marTop w:val="0"/>
              <w:marBottom w:val="0"/>
              <w:divBdr>
                <w:top w:val="none" w:sz="0" w:space="0" w:color="auto"/>
                <w:left w:val="none" w:sz="0" w:space="0" w:color="auto"/>
                <w:bottom w:val="none" w:sz="0" w:space="0" w:color="auto"/>
                <w:right w:val="none" w:sz="0" w:space="0" w:color="auto"/>
              </w:divBdr>
            </w:div>
            <w:div w:id="1022632087">
              <w:marLeft w:val="0"/>
              <w:marRight w:val="0"/>
              <w:marTop w:val="0"/>
              <w:marBottom w:val="0"/>
              <w:divBdr>
                <w:top w:val="none" w:sz="0" w:space="0" w:color="auto"/>
                <w:left w:val="none" w:sz="0" w:space="0" w:color="auto"/>
                <w:bottom w:val="none" w:sz="0" w:space="0" w:color="auto"/>
                <w:right w:val="none" w:sz="0" w:space="0" w:color="auto"/>
              </w:divBdr>
              <w:divsChild>
                <w:div w:id="1207446416">
                  <w:marLeft w:val="0"/>
                  <w:marRight w:val="0"/>
                  <w:marTop w:val="0"/>
                  <w:marBottom w:val="0"/>
                  <w:divBdr>
                    <w:top w:val="none" w:sz="0" w:space="0" w:color="auto"/>
                    <w:left w:val="none" w:sz="0" w:space="0" w:color="auto"/>
                    <w:bottom w:val="none" w:sz="0" w:space="0" w:color="auto"/>
                    <w:right w:val="none" w:sz="0" w:space="0" w:color="auto"/>
                  </w:divBdr>
                  <w:divsChild>
                    <w:div w:id="69940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4284">
      <w:bodyDiv w:val="1"/>
      <w:marLeft w:val="0"/>
      <w:marRight w:val="0"/>
      <w:marTop w:val="0"/>
      <w:marBottom w:val="0"/>
      <w:divBdr>
        <w:top w:val="none" w:sz="0" w:space="0" w:color="auto"/>
        <w:left w:val="none" w:sz="0" w:space="0" w:color="auto"/>
        <w:bottom w:val="none" w:sz="0" w:space="0" w:color="auto"/>
        <w:right w:val="none" w:sz="0" w:space="0" w:color="auto"/>
      </w:divBdr>
      <w:divsChild>
        <w:div w:id="2037152772">
          <w:marLeft w:val="0"/>
          <w:marRight w:val="0"/>
          <w:marTop w:val="0"/>
          <w:marBottom w:val="0"/>
          <w:divBdr>
            <w:top w:val="none" w:sz="0" w:space="0" w:color="auto"/>
            <w:left w:val="none" w:sz="0" w:space="0" w:color="auto"/>
            <w:bottom w:val="none" w:sz="0" w:space="0" w:color="auto"/>
            <w:right w:val="none" w:sz="0" w:space="0" w:color="auto"/>
          </w:divBdr>
          <w:divsChild>
            <w:div w:id="399711873">
              <w:marLeft w:val="0"/>
              <w:marRight w:val="0"/>
              <w:marTop w:val="0"/>
              <w:marBottom w:val="0"/>
              <w:divBdr>
                <w:top w:val="none" w:sz="0" w:space="0" w:color="auto"/>
                <w:left w:val="none" w:sz="0" w:space="0" w:color="auto"/>
                <w:bottom w:val="none" w:sz="0" w:space="0" w:color="auto"/>
                <w:right w:val="none" w:sz="0" w:space="0" w:color="auto"/>
              </w:divBdr>
              <w:divsChild>
                <w:div w:id="432172568">
                  <w:marLeft w:val="0"/>
                  <w:marRight w:val="0"/>
                  <w:marTop w:val="0"/>
                  <w:marBottom w:val="0"/>
                  <w:divBdr>
                    <w:top w:val="none" w:sz="0" w:space="0" w:color="auto"/>
                    <w:left w:val="none" w:sz="0" w:space="0" w:color="auto"/>
                    <w:bottom w:val="none" w:sz="0" w:space="0" w:color="auto"/>
                    <w:right w:val="none" w:sz="0" w:space="0" w:color="auto"/>
                  </w:divBdr>
                </w:div>
                <w:div w:id="700327838">
                  <w:marLeft w:val="0"/>
                  <w:marRight w:val="0"/>
                  <w:marTop w:val="0"/>
                  <w:marBottom w:val="0"/>
                  <w:divBdr>
                    <w:top w:val="none" w:sz="0" w:space="0" w:color="auto"/>
                    <w:left w:val="none" w:sz="0" w:space="0" w:color="auto"/>
                    <w:bottom w:val="none" w:sz="0" w:space="0" w:color="auto"/>
                    <w:right w:val="none" w:sz="0" w:space="0" w:color="auto"/>
                  </w:divBdr>
                </w:div>
                <w:div w:id="1519343542">
                  <w:marLeft w:val="0"/>
                  <w:marRight w:val="0"/>
                  <w:marTop w:val="0"/>
                  <w:marBottom w:val="0"/>
                  <w:divBdr>
                    <w:top w:val="none" w:sz="0" w:space="0" w:color="auto"/>
                    <w:left w:val="none" w:sz="0" w:space="0" w:color="auto"/>
                    <w:bottom w:val="none" w:sz="0" w:space="0" w:color="auto"/>
                    <w:right w:val="none" w:sz="0" w:space="0" w:color="auto"/>
                  </w:divBdr>
                </w:div>
                <w:div w:id="89081848">
                  <w:marLeft w:val="0"/>
                  <w:marRight w:val="0"/>
                  <w:marTop w:val="0"/>
                  <w:marBottom w:val="0"/>
                  <w:divBdr>
                    <w:top w:val="none" w:sz="0" w:space="0" w:color="auto"/>
                    <w:left w:val="none" w:sz="0" w:space="0" w:color="auto"/>
                    <w:bottom w:val="none" w:sz="0" w:space="0" w:color="auto"/>
                    <w:right w:val="none" w:sz="0" w:space="0" w:color="auto"/>
                  </w:divBdr>
                </w:div>
                <w:div w:id="382801519">
                  <w:marLeft w:val="0"/>
                  <w:marRight w:val="0"/>
                  <w:marTop w:val="0"/>
                  <w:marBottom w:val="0"/>
                  <w:divBdr>
                    <w:top w:val="none" w:sz="0" w:space="0" w:color="auto"/>
                    <w:left w:val="none" w:sz="0" w:space="0" w:color="auto"/>
                    <w:bottom w:val="none" w:sz="0" w:space="0" w:color="auto"/>
                    <w:right w:val="none" w:sz="0" w:space="0" w:color="auto"/>
                  </w:divBdr>
                </w:div>
                <w:div w:id="1017124171">
                  <w:marLeft w:val="0"/>
                  <w:marRight w:val="0"/>
                  <w:marTop w:val="0"/>
                  <w:marBottom w:val="0"/>
                  <w:divBdr>
                    <w:top w:val="none" w:sz="0" w:space="0" w:color="auto"/>
                    <w:left w:val="none" w:sz="0" w:space="0" w:color="auto"/>
                    <w:bottom w:val="none" w:sz="0" w:space="0" w:color="auto"/>
                    <w:right w:val="none" w:sz="0" w:space="0" w:color="auto"/>
                  </w:divBdr>
                </w:div>
                <w:div w:id="2082945265">
                  <w:marLeft w:val="0"/>
                  <w:marRight w:val="0"/>
                  <w:marTop w:val="0"/>
                  <w:marBottom w:val="0"/>
                  <w:divBdr>
                    <w:top w:val="none" w:sz="0" w:space="0" w:color="auto"/>
                    <w:left w:val="none" w:sz="0" w:space="0" w:color="auto"/>
                    <w:bottom w:val="none" w:sz="0" w:space="0" w:color="auto"/>
                    <w:right w:val="none" w:sz="0" w:space="0" w:color="auto"/>
                  </w:divBdr>
                </w:div>
              </w:divsChild>
            </w:div>
            <w:div w:id="995114314">
              <w:marLeft w:val="0"/>
              <w:marRight w:val="0"/>
              <w:marTop w:val="0"/>
              <w:marBottom w:val="0"/>
              <w:divBdr>
                <w:top w:val="none" w:sz="0" w:space="0" w:color="auto"/>
                <w:left w:val="none" w:sz="0" w:space="0" w:color="auto"/>
                <w:bottom w:val="none" w:sz="0" w:space="0" w:color="auto"/>
                <w:right w:val="none" w:sz="0" w:space="0" w:color="auto"/>
              </w:divBdr>
            </w:div>
            <w:div w:id="361902976">
              <w:marLeft w:val="0"/>
              <w:marRight w:val="0"/>
              <w:marTop w:val="0"/>
              <w:marBottom w:val="0"/>
              <w:divBdr>
                <w:top w:val="none" w:sz="0" w:space="0" w:color="auto"/>
                <w:left w:val="none" w:sz="0" w:space="0" w:color="auto"/>
                <w:bottom w:val="none" w:sz="0" w:space="0" w:color="auto"/>
                <w:right w:val="none" w:sz="0" w:space="0" w:color="auto"/>
              </w:divBdr>
            </w:div>
            <w:div w:id="1047989642">
              <w:marLeft w:val="0"/>
              <w:marRight w:val="0"/>
              <w:marTop w:val="0"/>
              <w:marBottom w:val="0"/>
              <w:divBdr>
                <w:top w:val="none" w:sz="0" w:space="0" w:color="auto"/>
                <w:left w:val="none" w:sz="0" w:space="0" w:color="auto"/>
                <w:bottom w:val="none" w:sz="0" w:space="0" w:color="auto"/>
                <w:right w:val="none" w:sz="0" w:space="0" w:color="auto"/>
              </w:divBdr>
            </w:div>
            <w:div w:id="1999844929">
              <w:marLeft w:val="0"/>
              <w:marRight w:val="0"/>
              <w:marTop w:val="0"/>
              <w:marBottom w:val="0"/>
              <w:divBdr>
                <w:top w:val="none" w:sz="0" w:space="0" w:color="auto"/>
                <w:left w:val="none" w:sz="0" w:space="0" w:color="auto"/>
                <w:bottom w:val="none" w:sz="0" w:space="0" w:color="auto"/>
                <w:right w:val="none" w:sz="0" w:space="0" w:color="auto"/>
              </w:divBdr>
              <w:divsChild>
                <w:div w:id="43607981">
                  <w:marLeft w:val="0"/>
                  <w:marRight w:val="0"/>
                  <w:marTop w:val="0"/>
                  <w:marBottom w:val="0"/>
                  <w:divBdr>
                    <w:top w:val="none" w:sz="0" w:space="0" w:color="auto"/>
                    <w:left w:val="none" w:sz="0" w:space="0" w:color="auto"/>
                    <w:bottom w:val="none" w:sz="0" w:space="0" w:color="auto"/>
                    <w:right w:val="none" w:sz="0" w:space="0" w:color="auto"/>
                  </w:divBdr>
                  <w:divsChild>
                    <w:div w:id="107527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impmyea.com/back-with-the-future/" TargetMode="External"/><Relationship Id="rId1" Type="http://schemas.openxmlformats.org/officeDocument/2006/relationships/numbering" Target="numbering.xml"/><Relationship Id="rId6" Type="http://schemas.openxmlformats.org/officeDocument/2006/relationships/hyperlink" Target="http://www.pimpmyea.com/wp-content/uploads/2012/10/futurofx_UM_presentation.png"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pimpmyea.com/my-trading-assistant-for-scalping/" TargetMode="Externa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2081</Words>
  <Characters>12490</Characters>
  <Application>Microsoft Office Word</Application>
  <DocSecurity>0</DocSecurity>
  <Lines>104</Lines>
  <Paragraphs>29</Paragraphs>
  <ScaleCrop>false</ScaleCrop>
  <Company>Sil-art Rycho444</Company>
  <LinksUpToDate>false</LinksUpToDate>
  <CharactersWithSpaces>14542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Chris</cp:lastModifiedBy>
  <cp:revision>1</cp:revision>
  <dcterms:created xsi:type="dcterms:W3CDTF">2013-03-17T07:42:00Z</dcterms:created>
  <dcterms:modified xsi:type="dcterms:W3CDTF">2013-03-17T07:44:00Z</dcterms:modified>
</cp:coreProperties>
</file>